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31976" w:rsidR="00F700A9" w:rsidP="00F700A9" w:rsidRDefault="00F700A9" w14:paraId="0DF8512A" w14:textId="77777777">
      <w:pPr>
        <w:rPr>
          <w:rFonts w:asciiTheme="minorHAnsi" w:hAnsiTheme="minorHAnsi" w:cstheme="minorHAnsi"/>
          <w:b/>
          <w:color w:val="000000"/>
          <w:sz w:val="22"/>
          <w:szCs w:val="22"/>
        </w:rPr>
      </w:pPr>
      <w:r w:rsidRPr="00731976">
        <w:rPr>
          <w:rFonts w:asciiTheme="minorHAnsi" w:hAnsiTheme="minorHAnsi" w:cstheme="minorHAnsi"/>
          <w:b/>
          <w:color w:val="000000"/>
          <w:sz w:val="22"/>
          <w:szCs w:val="22"/>
        </w:rPr>
        <w:t>THIS DOCUMENT IS IMPORTANT AND REQUIRES YOUR IMMEDIATE ATTENTION. IF IN DOUBT, PLEASE SEEK PROFESSIONAL ADVICE.</w:t>
      </w:r>
    </w:p>
    <w:p w:rsidRPr="00731976" w:rsidR="00F700A9" w:rsidP="00F700A9" w:rsidRDefault="00F700A9" w14:paraId="0A4E69F0" w14:textId="77777777">
      <w:pPr>
        <w:rPr>
          <w:rFonts w:asciiTheme="minorHAnsi" w:hAnsiTheme="minorHAnsi" w:cstheme="minorHAnsi"/>
          <w:sz w:val="22"/>
          <w:szCs w:val="22"/>
        </w:rPr>
      </w:pPr>
    </w:p>
    <w:p w:rsidRPr="00731976" w:rsidR="00F700A9" w:rsidP="00F700A9" w:rsidRDefault="00F700A9" w14:paraId="7D42E012" w14:textId="58AE7654">
      <w:pPr>
        <w:pStyle w:val="Body"/>
        <w:widowControl w:val="0"/>
        <w:spacing w:after="0" w:line="240" w:lineRule="auto"/>
        <w:jc w:val="right"/>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Luxembourg, </w:t>
      </w:r>
      <w:r w:rsidR="00A653D7">
        <w:rPr>
          <w:rFonts w:asciiTheme="minorHAnsi" w:hAnsiTheme="minorHAnsi" w:cstheme="minorHAnsi"/>
          <w:color w:val="000000"/>
          <w:sz w:val="22"/>
          <w:szCs w:val="22"/>
        </w:rPr>
        <w:t>5 November 2024</w:t>
      </w:r>
    </w:p>
    <w:p w:rsidRPr="00731976" w:rsidR="00F700A9" w:rsidP="00F700A9" w:rsidRDefault="00F700A9" w14:paraId="099B021C" w14:textId="77777777">
      <w:pPr>
        <w:pStyle w:val="Body"/>
        <w:widowControl w:val="0"/>
        <w:spacing w:after="0" w:line="240" w:lineRule="auto"/>
        <w:jc w:val="right"/>
        <w:rPr>
          <w:rFonts w:asciiTheme="minorHAnsi" w:hAnsiTheme="minorHAnsi" w:cstheme="minorHAnsi"/>
          <w:color w:val="000000"/>
          <w:sz w:val="22"/>
          <w:szCs w:val="22"/>
        </w:rPr>
      </w:pPr>
    </w:p>
    <w:p w:rsidRPr="00731976" w:rsidR="00F700A9" w:rsidP="00F700A9" w:rsidRDefault="00F700A9" w14:paraId="1AACB17C" w14:textId="77777777">
      <w:pPr>
        <w:pStyle w:val="Body"/>
        <w:widowControl w:val="0"/>
        <w:spacing w:line="240" w:lineRule="auto"/>
        <w:jc w:val="left"/>
        <w:rPr>
          <w:rFonts w:asciiTheme="minorHAnsi" w:hAnsiTheme="minorHAnsi" w:cstheme="minorHAnsi"/>
          <w:color w:val="000000"/>
          <w:sz w:val="22"/>
          <w:szCs w:val="22"/>
        </w:rPr>
      </w:pPr>
      <w:r w:rsidRPr="00731976">
        <w:rPr>
          <w:rFonts w:asciiTheme="minorHAnsi" w:hAnsiTheme="minorHAnsi" w:cstheme="minorHAnsi"/>
          <w:color w:val="000000"/>
          <w:sz w:val="22"/>
          <w:szCs w:val="22"/>
        </w:rPr>
        <w:t>Dear Shareholder:</w:t>
      </w:r>
    </w:p>
    <w:p w:rsidRPr="00731976" w:rsidR="00F700A9" w:rsidP="00F700A9" w:rsidRDefault="00F700A9" w14:paraId="6E219632" w14:textId="22E725E2">
      <w:pPr>
        <w:rPr>
          <w:rFonts w:asciiTheme="minorHAnsi" w:hAnsiTheme="minorHAnsi" w:cstheme="minorHAnsi"/>
          <w:b/>
          <w:color w:val="000000"/>
          <w:sz w:val="22"/>
          <w:szCs w:val="22"/>
        </w:rPr>
      </w:pPr>
      <w:r w:rsidRPr="00731976">
        <w:rPr>
          <w:rFonts w:asciiTheme="minorHAnsi" w:hAnsiTheme="minorHAnsi" w:cstheme="minorHAnsi"/>
          <w:b/>
          <w:color w:val="000000"/>
          <w:sz w:val="22"/>
          <w:szCs w:val="22"/>
        </w:rPr>
        <w:t xml:space="preserve">Notice to the shareholders of </w:t>
      </w:r>
      <w:r w:rsidRPr="00731976" w:rsidR="00D51D8A">
        <w:rPr>
          <w:rFonts w:asciiTheme="minorHAnsi" w:hAnsiTheme="minorHAnsi" w:cstheme="minorHAnsi"/>
          <w:b/>
          <w:color w:val="000000"/>
          <w:sz w:val="22"/>
          <w:szCs w:val="22"/>
        </w:rPr>
        <w:t xml:space="preserve">Alquity SICAV – </w:t>
      </w:r>
      <w:r w:rsidR="00FA287B">
        <w:rPr>
          <w:rFonts w:asciiTheme="minorHAnsi" w:hAnsiTheme="minorHAnsi" w:cstheme="minorHAnsi"/>
          <w:b/>
          <w:color w:val="000000"/>
          <w:sz w:val="22"/>
          <w:szCs w:val="22"/>
        </w:rPr>
        <w:t>Alquity Future World Fund</w:t>
      </w:r>
    </w:p>
    <w:p w:rsidRPr="00731976" w:rsidR="00F700A9" w:rsidP="00F700A9" w:rsidRDefault="00F700A9" w14:paraId="198BE631" w14:textId="77777777">
      <w:pPr>
        <w:autoSpaceDE w:val="0"/>
        <w:autoSpaceDN w:val="0"/>
        <w:adjustRightInd w:val="0"/>
        <w:rPr>
          <w:rFonts w:asciiTheme="minorHAnsi" w:hAnsiTheme="minorHAnsi" w:cstheme="minorHAnsi"/>
          <w:color w:val="000000"/>
          <w:sz w:val="22"/>
          <w:szCs w:val="22"/>
        </w:rPr>
      </w:pPr>
    </w:p>
    <w:p w:rsidRPr="00731976" w:rsidR="00F700A9" w:rsidP="00F700A9" w:rsidRDefault="00F700A9" w14:paraId="270A9A2D" w14:textId="37FE5FF7">
      <w:pPr>
        <w:rPr>
          <w:rFonts w:asciiTheme="minorHAnsi" w:hAnsiTheme="minorHAnsi" w:cstheme="minorHAnsi"/>
          <w:b/>
          <w:color w:val="000000"/>
          <w:sz w:val="22"/>
          <w:szCs w:val="22"/>
        </w:rPr>
      </w:pPr>
      <w:r w:rsidRPr="00731976">
        <w:rPr>
          <w:rFonts w:asciiTheme="minorHAnsi" w:hAnsiTheme="minorHAnsi" w:cstheme="minorHAnsi"/>
          <w:color w:val="000000"/>
          <w:sz w:val="22"/>
          <w:szCs w:val="22"/>
        </w:rPr>
        <w:t xml:space="preserve">Notice is hereby given to you as a Shareholder of </w:t>
      </w:r>
      <w:r w:rsidRPr="00731976" w:rsidR="00D51D8A">
        <w:rPr>
          <w:rFonts w:asciiTheme="minorHAnsi" w:hAnsiTheme="minorHAnsi" w:cstheme="minorHAnsi"/>
          <w:color w:val="000000"/>
          <w:sz w:val="22"/>
          <w:szCs w:val="22"/>
        </w:rPr>
        <w:t xml:space="preserve">Alquity SICAV – Alquity </w:t>
      </w:r>
      <w:r w:rsidR="00FA287B">
        <w:rPr>
          <w:rFonts w:asciiTheme="minorHAnsi" w:hAnsiTheme="minorHAnsi" w:cstheme="minorHAnsi"/>
          <w:color w:val="000000"/>
          <w:sz w:val="22"/>
          <w:szCs w:val="22"/>
        </w:rPr>
        <w:t>Future World Fund</w:t>
      </w:r>
      <w:r w:rsidRPr="00731976" w:rsidR="00D51D8A">
        <w:rPr>
          <w:rFonts w:asciiTheme="minorHAnsi" w:hAnsiTheme="minorHAnsi" w:cstheme="minorHAnsi"/>
          <w:color w:val="000000"/>
          <w:sz w:val="22"/>
          <w:szCs w:val="22"/>
        </w:rPr>
        <w:t xml:space="preserve"> </w:t>
      </w:r>
      <w:r w:rsidRPr="00731976">
        <w:rPr>
          <w:rFonts w:asciiTheme="minorHAnsi" w:hAnsiTheme="minorHAnsi" w:cstheme="minorHAnsi"/>
          <w:color w:val="000000"/>
          <w:sz w:val="22"/>
          <w:szCs w:val="22"/>
        </w:rPr>
        <w:t>(the “</w:t>
      </w:r>
      <w:r w:rsidRPr="00731976" w:rsidR="00D51D8A">
        <w:rPr>
          <w:rFonts w:asciiTheme="minorHAnsi" w:hAnsiTheme="minorHAnsi" w:cstheme="minorHAnsi"/>
          <w:b/>
          <w:color w:val="000000"/>
          <w:sz w:val="22"/>
          <w:szCs w:val="22"/>
        </w:rPr>
        <w:t xml:space="preserve">Receiving </w:t>
      </w:r>
      <w:r w:rsidRPr="00731976" w:rsidR="007A5A9B">
        <w:rPr>
          <w:rFonts w:asciiTheme="minorHAnsi" w:hAnsiTheme="minorHAnsi" w:cstheme="minorHAnsi"/>
          <w:b/>
          <w:color w:val="000000"/>
          <w:sz w:val="22"/>
          <w:szCs w:val="22"/>
        </w:rPr>
        <w:t>Sub-Fund</w:t>
      </w:r>
      <w:r w:rsidRPr="00731976">
        <w:rPr>
          <w:rFonts w:asciiTheme="minorHAnsi" w:hAnsiTheme="minorHAnsi" w:cstheme="minorHAnsi"/>
          <w:color w:val="000000"/>
          <w:sz w:val="22"/>
          <w:szCs w:val="22"/>
        </w:rPr>
        <w:t xml:space="preserve">”), a sub-fund of </w:t>
      </w:r>
      <w:r w:rsidRPr="00731976" w:rsidR="00D51D8A">
        <w:rPr>
          <w:rFonts w:asciiTheme="minorHAnsi" w:hAnsiTheme="minorHAnsi" w:cstheme="minorHAnsi"/>
          <w:color w:val="000000"/>
          <w:sz w:val="22"/>
          <w:szCs w:val="22"/>
        </w:rPr>
        <w:t xml:space="preserve">Alquity SICAV </w:t>
      </w:r>
      <w:r w:rsidRPr="00731976" w:rsidR="008F5846">
        <w:rPr>
          <w:rFonts w:asciiTheme="minorHAnsi" w:hAnsiTheme="minorHAnsi" w:cstheme="minorHAnsi"/>
          <w:color w:val="000000"/>
          <w:sz w:val="22"/>
          <w:szCs w:val="22"/>
        </w:rPr>
        <w:t>(“</w:t>
      </w:r>
      <w:r w:rsidRPr="00731976" w:rsidR="00D51D8A">
        <w:rPr>
          <w:rFonts w:asciiTheme="minorHAnsi" w:hAnsiTheme="minorHAnsi" w:cstheme="minorHAnsi"/>
          <w:b/>
          <w:color w:val="000000"/>
          <w:sz w:val="22"/>
          <w:szCs w:val="22"/>
        </w:rPr>
        <w:t>Alquity</w:t>
      </w:r>
      <w:r w:rsidRPr="00731976">
        <w:rPr>
          <w:rFonts w:asciiTheme="minorHAnsi" w:hAnsiTheme="minorHAnsi" w:cstheme="minorHAnsi"/>
          <w:color w:val="000000"/>
          <w:sz w:val="22"/>
          <w:szCs w:val="22"/>
        </w:rPr>
        <w:t>”</w:t>
      </w:r>
      <w:r w:rsidRPr="00731976" w:rsidR="001D4338">
        <w:rPr>
          <w:rFonts w:asciiTheme="minorHAnsi" w:hAnsiTheme="minorHAnsi" w:cstheme="minorHAnsi"/>
          <w:color w:val="000000"/>
          <w:sz w:val="22"/>
          <w:szCs w:val="22"/>
        </w:rPr>
        <w:t xml:space="preserve"> or the “</w:t>
      </w:r>
      <w:r w:rsidRPr="00731976" w:rsidR="001D4338">
        <w:rPr>
          <w:rFonts w:asciiTheme="minorHAnsi" w:hAnsiTheme="minorHAnsi" w:cstheme="minorHAnsi"/>
          <w:b/>
          <w:bCs/>
          <w:color w:val="000000"/>
          <w:sz w:val="22"/>
          <w:szCs w:val="22"/>
        </w:rPr>
        <w:t>Company</w:t>
      </w:r>
      <w:r w:rsidRPr="00731976" w:rsidR="001D4338">
        <w:rPr>
          <w:rFonts w:asciiTheme="minorHAnsi" w:hAnsiTheme="minorHAnsi" w:cstheme="minorHAnsi"/>
          <w:color w:val="000000"/>
          <w:sz w:val="22"/>
          <w:szCs w:val="22"/>
        </w:rPr>
        <w:t>”</w:t>
      </w:r>
      <w:r w:rsidRPr="00731976">
        <w:rPr>
          <w:rFonts w:asciiTheme="minorHAnsi" w:hAnsiTheme="minorHAnsi" w:cstheme="minorHAnsi"/>
          <w:color w:val="000000"/>
          <w:sz w:val="22"/>
          <w:szCs w:val="22"/>
        </w:rPr>
        <w:t xml:space="preserve">), to inform you of the decision of the board of directors of </w:t>
      </w:r>
      <w:r w:rsidRPr="00731976" w:rsidR="00D51D8A">
        <w:rPr>
          <w:rFonts w:asciiTheme="minorHAnsi" w:hAnsiTheme="minorHAnsi" w:cstheme="minorHAnsi"/>
          <w:color w:val="000000"/>
          <w:sz w:val="22"/>
          <w:szCs w:val="22"/>
        </w:rPr>
        <w:t>Alquity</w:t>
      </w:r>
      <w:r w:rsidRPr="00731976" w:rsidR="004E4C21">
        <w:rPr>
          <w:rFonts w:asciiTheme="minorHAnsi" w:hAnsiTheme="minorHAnsi" w:cstheme="minorHAnsi"/>
          <w:color w:val="000000"/>
          <w:sz w:val="22"/>
          <w:szCs w:val="22"/>
        </w:rPr>
        <w:t xml:space="preserve"> and VAM Funds (Lux)</w:t>
      </w:r>
      <w:r w:rsidRPr="00731976" w:rsidR="00D51D8A">
        <w:rPr>
          <w:rFonts w:asciiTheme="minorHAnsi" w:hAnsiTheme="minorHAnsi" w:cstheme="minorHAnsi"/>
          <w:color w:val="000000"/>
          <w:sz w:val="22"/>
          <w:szCs w:val="22"/>
        </w:rPr>
        <w:t xml:space="preserve"> </w:t>
      </w:r>
      <w:r w:rsidRPr="00731976">
        <w:rPr>
          <w:rFonts w:asciiTheme="minorHAnsi" w:hAnsiTheme="minorHAnsi" w:cstheme="minorHAnsi"/>
          <w:color w:val="000000"/>
          <w:sz w:val="22"/>
          <w:szCs w:val="22"/>
        </w:rPr>
        <w:t>(the “</w:t>
      </w:r>
      <w:r w:rsidRPr="00731976">
        <w:rPr>
          <w:rFonts w:asciiTheme="minorHAnsi" w:hAnsiTheme="minorHAnsi" w:cstheme="minorHAnsi"/>
          <w:b/>
          <w:color w:val="000000"/>
          <w:sz w:val="22"/>
          <w:szCs w:val="22"/>
        </w:rPr>
        <w:t>Board of Directors</w:t>
      </w:r>
      <w:r w:rsidRPr="00731976">
        <w:rPr>
          <w:rFonts w:asciiTheme="minorHAnsi" w:hAnsiTheme="minorHAnsi" w:cstheme="minorHAnsi"/>
          <w:color w:val="000000"/>
          <w:sz w:val="22"/>
          <w:szCs w:val="22"/>
        </w:rPr>
        <w:t xml:space="preserve">”) to merge the </w:t>
      </w:r>
      <w:r w:rsidRPr="00731976" w:rsidR="00D51D8A">
        <w:rPr>
          <w:rFonts w:asciiTheme="minorHAnsi" w:hAnsiTheme="minorHAnsi" w:cstheme="minorHAnsi"/>
          <w:color w:val="000000"/>
          <w:sz w:val="22"/>
          <w:szCs w:val="22"/>
        </w:rPr>
        <w:t xml:space="preserve">sub-fund VAM Funds (Lux) – </w:t>
      </w:r>
      <w:r w:rsidR="00FA287B">
        <w:rPr>
          <w:rFonts w:asciiTheme="minorHAnsi" w:hAnsiTheme="minorHAnsi" w:cstheme="minorHAnsi"/>
          <w:color w:val="000000"/>
          <w:sz w:val="22"/>
          <w:szCs w:val="22"/>
        </w:rPr>
        <w:t xml:space="preserve">Emerging </w:t>
      </w:r>
      <w:r w:rsidRPr="00FA287B" w:rsidR="00FA287B">
        <w:rPr>
          <w:rFonts w:asciiTheme="minorHAnsi" w:hAnsiTheme="minorHAnsi" w:cstheme="minorHAnsi"/>
          <w:color w:val="000000"/>
          <w:sz w:val="22"/>
          <w:szCs w:val="22"/>
        </w:rPr>
        <w:t>Markets Growth Fund</w:t>
      </w:r>
      <w:r w:rsidRPr="00731976" w:rsidR="00D51D8A">
        <w:rPr>
          <w:rFonts w:asciiTheme="minorHAnsi" w:hAnsiTheme="minorHAnsi" w:cstheme="minorHAnsi"/>
          <w:color w:val="000000"/>
          <w:sz w:val="22"/>
          <w:szCs w:val="22"/>
        </w:rPr>
        <w:t xml:space="preserve"> (the “</w:t>
      </w:r>
      <w:r w:rsidRPr="00731976" w:rsidR="00D51D8A">
        <w:rPr>
          <w:rFonts w:asciiTheme="minorHAnsi" w:hAnsiTheme="minorHAnsi" w:cstheme="minorHAnsi"/>
          <w:b/>
          <w:bCs/>
          <w:color w:val="000000"/>
          <w:sz w:val="22"/>
          <w:szCs w:val="22"/>
        </w:rPr>
        <w:t>Merging Sub-Fund</w:t>
      </w:r>
      <w:r w:rsidRPr="00731976" w:rsidR="00D51D8A">
        <w:rPr>
          <w:rFonts w:asciiTheme="minorHAnsi" w:hAnsiTheme="minorHAnsi" w:cstheme="minorHAnsi"/>
          <w:color w:val="000000"/>
          <w:sz w:val="22"/>
          <w:szCs w:val="22"/>
        </w:rPr>
        <w:t xml:space="preserve">”) </w:t>
      </w:r>
      <w:r w:rsidRPr="00731976">
        <w:rPr>
          <w:rFonts w:asciiTheme="minorHAnsi" w:hAnsiTheme="minorHAnsi" w:cstheme="minorHAnsi"/>
          <w:color w:val="000000"/>
          <w:sz w:val="22"/>
          <w:szCs w:val="22"/>
        </w:rPr>
        <w:t>into</w:t>
      </w:r>
      <w:r w:rsidRPr="00731976">
        <w:rPr>
          <w:rFonts w:asciiTheme="minorHAnsi" w:hAnsiTheme="minorHAnsi" w:cstheme="minorHAnsi"/>
          <w:b/>
          <w:color w:val="000000"/>
          <w:sz w:val="22"/>
          <w:szCs w:val="22"/>
        </w:rPr>
        <w:t xml:space="preserve"> </w:t>
      </w:r>
      <w:r w:rsidRPr="00731976">
        <w:rPr>
          <w:rFonts w:asciiTheme="minorHAnsi" w:hAnsiTheme="minorHAnsi" w:cstheme="minorHAnsi"/>
          <w:bCs/>
          <w:color w:val="000000"/>
          <w:sz w:val="22"/>
          <w:szCs w:val="22"/>
        </w:rPr>
        <w:t xml:space="preserve">the </w:t>
      </w:r>
      <w:r w:rsidRPr="00731976" w:rsidR="007A5A9B">
        <w:rPr>
          <w:rFonts w:asciiTheme="minorHAnsi" w:hAnsiTheme="minorHAnsi" w:cstheme="minorHAnsi"/>
          <w:bCs/>
          <w:color w:val="000000"/>
          <w:sz w:val="22"/>
          <w:szCs w:val="22"/>
        </w:rPr>
        <w:t>Receiving Sub-Fund</w:t>
      </w:r>
      <w:r w:rsidRPr="00731976">
        <w:rPr>
          <w:rFonts w:asciiTheme="minorHAnsi" w:hAnsiTheme="minorHAnsi" w:cstheme="minorHAnsi"/>
          <w:color w:val="000000"/>
          <w:sz w:val="22"/>
          <w:szCs w:val="22"/>
        </w:rPr>
        <w:t xml:space="preserve"> on </w:t>
      </w:r>
      <w:r w:rsidR="00A653D7">
        <w:rPr>
          <w:rFonts w:asciiTheme="minorHAnsi" w:hAnsiTheme="minorHAnsi" w:cstheme="minorHAnsi"/>
          <w:color w:val="000000"/>
          <w:sz w:val="22"/>
          <w:szCs w:val="22"/>
        </w:rPr>
        <w:t xml:space="preserve">13 </w:t>
      </w:r>
      <w:r w:rsidR="000D6053">
        <w:rPr>
          <w:rFonts w:asciiTheme="minorHAnsi" w:hAnsiTheme="minorHAnsi" w:cstheme="minorHAnsi"/>
          <w:color w:val="000000"/>
          <w:sz w:val="22"/>
          <w:szCs w:val="22"/>
        </w:rPr>
        <w:t>December 2024</w:t>
      </w:r>
      <w:r w:rsidRPr="00731976" w:rsidR="000D6053">
        <w:rPr>
          <w:rFonts w:asciiTheme="minorHAnsi" w:hAnsiTheme="minorHAnsi" w:cstheme="minorHAnsi"/>
          <w:color w:val="000000"/>
          <w:sz w:val="22"/>
          <w:szCs w:val="22"/>
        </w:rPr>
        <w:t xml:space="preserve"> </w:t>
      </w:r>
      <w:r w:rsidRPr="00731976" w:rsidR="00CD464D">
        <w:rPr>
          <w:rFonts w:asciiTheme="minorHAnsi" w:hAnsiTheme="minorHAnsi" w:cstheme="minorHAnsi"/>
          <w:color w:val="000000"/>
          <w:sz w:val="22"/>
          <w:szCs w:val="22"/>
        </w:rPr>
        <w:t xml:space="preserve">at </w:t>
      </w:r>
      <w:r w:rsidR="000D6053">
        <w:rPr>
          <w:rFonts w:asciiTheme="minorHAnsi" w:hAnsiTheme="minorHAnsi" w:cstheme="minorHAnsi"/>
          <w:color w:val="000000"/>
          <w:sz w:val="22"/>
          <w:szCs w:val="22"/>
        </w:rPr>
        <w:t>23:59</w:t>
      </w:r>
      <w:r w:rsidRPr="00731976" w:rsidR="000D6053">
        <w:rPr>
          <w:rFonts w:asciiTheme="minorHAnsi" w:hAnsiTheme="minorHAnsi" w:cstheme="minorHAnsi"/>
          <w:color w:val="000000"/>
          <w:sz w:val="22"/>
          <w:szCs w:val="22"/>
        </w:rPr>
        <w:t xml:space="preserve"> </w:t>
      </w:r>
      <w:r w:rsidRPr="00731976">
        <w:rPr>
          <w:rFonts w:asciiTheme="minorHAnsi" w:hAnsiTheme="minorHAnsi" w:cstheme="minorHAnsi"/>
          <w:color w:val="000000"/>
          <w:sz w:val="22"/>
          <w:szCs w:val="22"/>
        </w:rPr>
        <w:t>(Luxembourg time) (the “</w:t>
      </w:r>
      <w:r w:rsidRPr="00731976">
        <w:rPr>
          <w:rFonts w:asciiTheme="minorHAnsi" w:hAnsiTheme="minorHAnsi" w:cstheme="minorHAnsi"/>
          <w:b/>
          <w:color w:val="000000"/>
          <w:sz w:val="22"/>
          <w:szCs w:val="22"/>
        </w:rPr>
        <w:t>Effective Date</w:t>
      </w:r>
      <w:r w:rsidRPr="00731976">
        <w:rPr>
          <w:rFonts w:asciiTheme="minorHAnsi" w:hAnsiTheme="minorHAnsi" w:cstheme="minorHAnsi"/>
          <w:color w:val="000000"/>
          <w:sz w:val="22"/>
          <w:szCs w:val="22"/>
        </w:rPr>
        <w:t xml:space="preserve">”). Details of the Merger, together with details regarding the action you </w:t>
      </w:r>
      <w:r w:rsidRPr="00731976" w:rsidR="008B0A49">
        <w:rPr>
          <w:rFonts w:asciiTheme="minorHAnsi" w:hAnsiTheme="minorHAnsi" w:cstheme="minorHAnsi"/>
          <w:color w:val="000000"/>
          <w:sz w:val="22"/>
          <w:szCs w:val="22"/>
        </w:rPr>
        <w:t>can</w:t>
      </w:r>
      <w:r w:rsidRPr="00731976">
        <w:rPr>
          <w:rFonts w:asciiTheme="minorHAnsi" w:hAnsiTheme="minorHAnsi" w:cstheme="minorHAnsi"/>
          <w:color w:val="000000"/>
          <w:sz w:val="22"/>
          <w:szCs w:val="22"/>
        </w:rPr>
        <w:t xml:space="preserve"> take and the implications for you as a Shareholder, are set out in this document.</w:t>
      </w:r>
    </w:p>
    <w:p w:rsidRPr="00731976" w:rsidR="00F700A9" w:rsidP="00F700A9" w:rsidRDefault="00D51D8A" w14:paraId="5CC988E9" w14:textId="14F6C173">
      <w:pPr>
        <w:autoSpaceDE w:val="0"/>
        <w:autoSpaceDN w:val="0"/>
        <w:adjustRightInd w:val="0"/>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 </w:t>
      </w:r>
    </w:p>
    <w:p w:rsidRPr="00731976" w:rsidR="00F700A9" w:rsidP="00F700A9" w:rsidRDefault="00F700A9" w14:paraId="3A96474F" w14:textId="5D9E0A06">
      <w:pPr>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The Board of Directors has resolved to merge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with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in accordance with the provisions of article 1 (20) </w:t>
      </w:r>
      <w:r w:rsidRPr="00731976" w:rsidR="00D823B0">
        <w:rPr>
          <w:rFonts w:asciiTheme="minorHAnsi" w:hAnsiTheme="minorHAnsi" w:cstheme="minorHAnsi"/>
          <w:color w:val="000000"/>
          <w:sz w:val="22"/>
          <w:szCs w:val="22"/>
        </w:rPr>
        <w:t>a</w:t>
      </w:r>
      <w:r w:rsidRPr="00731976">
        <w:rPr>
          <w:rFonts w:asciiTheme="minorHAnsi" w:hAnsiTheme="minorHAnsi" w:cstheme="minorHAnsi"/>
          <w:color w:val="000000"/>
          <w:sz w:val="22"/>
          <w:szCs w:val="22"/>
        </w:rPr>
        <w:t>) and with Chapter 8 of the law of 17 December 2010 regarding undertakings for collective investment, as amended (the “</w:t>
      </w:r>
      <w:r w:rsidRPr="00731976">
        <w:rPr>
          <w:rFonts w:asciiTheme="minorHAnsi" w:hAnsiTheme="minorHAnsi" w:cstheme="minorHAnsi"/>
          <w:b/>
          <w:color w:val="000000"/>
          <w:sz w:val="22"/>
          <w:szCs w:val="22"/>
        </w:rPr>
        <w:t>2010 Law</w:t>
      </w:r>
      <w:r w:rsidRPr="00731976">
        <w:rPr>
          <w:rFonts w:asciiTheme="minorHAnsi" w:hAnsiTheme="minorHAnsi" w:cstheme="minorHAnsi"/>
          <w:color w:val="000000"/>
          <w:sz w:val="22"/>
          <w:szCs w:val="22"/>
        </w:rPr>
        <w:t>”).</w:t>
      </w:r>
    </w:p>
    <w:p w:rsidRPr="00731976" w:rsidR="00F700A9" w:rsidP="00F700A9" w:rsidRDefault="00F700A9" w14:paraId="323A746C" w14:textId="77777777">
      <w:pPr>
        <w:rPr>
          <w:rFonts w:asciiTheme="minorHAnsi" w:hAnsiTheme="minorHAnsi" w:cstheme="minorHAnsi"/>
          <w:color w:val="000000"/>
          <w:sz w:val="22"/>
          <w:szCs w:val="22"/>
        </w:rPr>
      </w:pPr>
    </w:p>
    <w:p w:rsidRPr="00731976" w:rsidR="00F700A9" w:rsidP="00F700A9" w:rsidRDefault="00F700A9" w14:paraId="07911B18" w14:textId="384A7ECE">
      <w:pPr>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The Board of Directors and the current management company of </w:t>
      </w:r>
      <w:r w:rsidRPr="00731976" w:rsidR="00D51D8A">
        <w:rPr>
          <w:rFonts w:asciiTheme="minorHAnsi" w:hAnsiTheme="minorHAnsi" w:cstheme="minorHAnsi"/>
          <w:color w:val="000000"/>
          <w:sz w:val="22"/>
          <w:szCs w:val="22"/>
        </w:rPr>
        <w:t>Alquity</w:t>
      </w:r>
      <w:r w:rsidRPr="00731976">
        <w:rPr>
          <w:rFonts w:asciiTheme="minorHAnsi" w:hAnsiTheme="minorHAnsi" w:cstheme="minorHAnsi"/>
          <w:color w:val="000000"/>
          <w:sz w:val="22"/>
          <w:szCs w:val="22"/>
        </w:rPr>
        <w:t xml:space="preserve">, </w:t>
      </w:r>
      <w:r w:rsidRPr="00731976" w:rsidR="00D51D8A">
        <w:rPr>
          <w:rFonts w:asciiTheme="minorHAnsi" w:hAnsiTheme="minorHAnsi" w:cstheme="minorHAnsi"/>
          <w:color w:val="000000"/>
          <w:sz w:val="22"/>
          <w:szCs w:val="22"/>
        </w:rPr>
        <w:t>Limestone Platform AS,</w:t>
      </w:r>
      <w:r w:rsidRPr="00731976" w:rsidR="00A256D5">
        <w:rPr>
          <w:rFonts w:asciiTheme="minorHAnsi" w:hAnsiTheme="minorHAnsi" w:cstheme="minorHAnsi"/>
          <w:color w:val="000000"/>
          <w:sz w:val="22"/>
          <w:szCs w:val="22"/>
        </w:rPr>
        <w:t xml:space="preserve"> </w:t>
      </w:r>
      <w:r w:rsidRPr="00731976">
        <w:rPr>
          <w:rFonts w:asciiTheme="minorHAnsi" w:hAnsiTheme="minorHAnsi" w:cstheme="minorHAnsi"/>
          <w:color w:val="000000"/>
          <w:sz w:val="22"/>
          <w:szCs w:val="22"/>
        </w:rPr>
        <w:t xml:space="preserve">accepts responsibility for the accuracy of the information contained in this notice as at the date of its publication. </w:t>
      </w:r>
    </w:p>
    <w:p w:rsidRPr="00731976" w:rsidR="00F700A9" w:rsidP="00F700A9" w:rsidRDefault="00F700A9" w14:paraId="1341B209" w14:textId="77777777">
      <w:pPr>
        <w:autoSpaceDE w:val="0"/>
        <w:autoSpaceDN w:val="0"/>
        <w:adjustRightInd w:val="0"/>
        <w:rPr>
          <w:rFonts w:asciiTheme="minorHAnsi" w:hAnsiTheme="minorHAnsi" w:cstheme="minorHAnsi"/>
          <w:color w:val="000000"/>
          <w:sz w:val="22"/>
          <w:szCs w:val="22"/>
        </w:rPr>
      </w:pPr>
    </w:p>
    <w:p w:rsidRPr="00731976" w:rsidR="00F700A9" w:rsidP="00F700A9" w:rsidRDefault="00F700A9" w14:paraId="5A57C44E" w14:textId="61FE02B0">
      <w:pPr>
        <w:autoSpaceDE w:val="0"/>
        <w:autoSpaceDN w:val="0"/>
        <w:adjustRightInd w:val="0"/>
        <w:rPr>
          <w:rFonts w:asciiTheme="minorHAnsi" w:hAnsiTheme="minorHAnsi" w:cstheme="minorHAnsi"/>
          <w:color w:val="000000"/>
          <w:sz w:val="22"/>
          <w:szCs w:val="22"/>
        </w:rPr>
      </w:pPr>
      <w:r w:rsidRPr="00731976">
        <w:rPr>
          <w:rFonts w:asciiTheme="minorHAnsi" w:hAnsiTheme="minorHAnsi" w:cstheme="minorHAnsi"/>
          <w:color w:val="000000"/>
          <w:sz w:val="22"/>
          <w:szCs w:val="22"/>
        </w:rPr>
        <w:t>In this document, unless the context requires otherwise, the terms shall have the meaning set out in the Glossary at Appendix 1</w:t>
      </w:r>
      <w:r w:rsidR="004E4C21">
        <w:rPr>
          <w:rFonts w:asciiTheme="minorHAnsi" w:hAnsiTheme="minorHAnsi" w:cstheme="minorHAnsi"/>
          <w:color w:val="000000"/>
          <w:sz w:val="22"/>
          <w:szCs w:val="22"/>
        </w:rPr>
        <w:t>.</w:t>
      </w:r>
    </w:p>
    <w:p w:rsidRPr="00731976" w:rsidR="00F700A9" w:rsidP="00F700A9" w:rsidRDefault="00F700A9" w14:paraId="7412D7A6" w14:textId="1332194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Pr="00731976" w:rsidR="00405E8E" w:rsidP="00405E8E" w:rsidRDefault="00405E8E" w14:paraId="211AEFA9" w14:textId="77777777">
      <w:pPr>
        <w:pStyle w:val="Body1"/>
        <w:widowControl/>
        <w:spacing w:line="240" w:lineRule="auto"/>
        <w:jc w:val="left"/>
        <w:rPr>
          <w:rFonts w:asciiTheme="minorHAnsi" w:hAnsiTheme="minorHAnsi" w:cstheme="minorHAnsi"/>
          <w:b/>
          <w:szCs w:val="22"/>
        </w:rPr>
      </w:pPr>
      <w:r w:rsidRPr="00731976">
        <w:rPr>
          <w:rFonts w:asciiTheme="minorHAnsi" w:hAnsiTheme="minorHAnsi" w:cstheme="minorHAnsi"/>
          <w:b/>
          <w:szCs w:val="22"/>
        </w:rPr>
        <w:t>What to do next</w:t>
      </w:r>
    </w:p>
    <w:p w:rsidRPr="00731976" w:rsidR="00405E8E" w:rsidP="00405E8E" w:rsidRDefault="00405E8E" w14:paraId="2168EC3B" w14:textId="77777777">
      <w:pPr>
        <w:pStyle w:val="Body1"/>
        <w:widowControl/>
        <w:spacing w:line="240" w:lineRule="auto"/>
        <w:rPr>
          <w:rFonts w:asciiTheme="minorHAnsi" w:hAnsiTheme="minorHAnsi" w:cstheme="minorHAnsi"/>
          <w:b/>
          <w:szCs w:val="22"/>
        </w:rPr>
      </w:pPr>
    </w:p>
    <w:p w:rsidRPr="00731976" w:rsidR="00405E8E" w:rsidP="00405E8E" w:rsidRDefault="00405E8E" w14:paraId="513B51FF" w14:textId="77777777">
      <w:pPr>
        <w:rPr>
          <w:rFonts w:asciiTheme="minorHAnsi" w:hAnsiTheme="minorHAnsi" w:cstheme="minorHAnsi"/>
          <w:b/>
          <w:sz w:val="22"/>
          <w:szCs w:val="22"/>
        </w:rPr>
      </w:pPr>
      <w:r w:rsidRPr="00731976">
        <w:rPr>
          <w:rFonts w:asciiTheme="minorHAnsi" w:hAnsiTheme="minorHAnsi" w:cstheme="minorHAnsi"/>
          <w:b/>
          <w:sz w:val="22"/>
          <w:szCs w:val="22"/>
        </w:rPr>
        <w:t>IF THE MERGER MEETS YOUR REQUIREMENTS, YOU DO NOT NEED TO TAKE ANY ACTION.</w:t>
      </w:r>
    </w:p>
    <w:p w:rsidRPr="00731976" w:rsidR="00405E8E" w:rsidP="00405E8E" w:rsidRDefault="00405E8E" w14:paraId="6BC5972C" w14:textId="77777777">
      <w:pPr>
        <w:rPr>
          <w:rFonts w:asciiTheme="minorHAnsi" w:hAnsiTheme="minorHAnsi" w:cstheme="minorHAnsi"/>
          <w:b/>
          <w:sz w:val="22"/>
          <w:szCs w:val="22"/>
        </w:rPr>
      </w:pPr>
    </w:p>
    <w:p w:rsidR="00405E8E" w:rsidP="00405E8E" w:rsidRDefault="00D51D8A" w14:paraId="164576A3" w14:textId="34B44C57">
      <w:pPr>
        <w:rPr>
          <w:rFonts w:asciiTheme="minorHAnsi" w:hAnsiTheme="minorHAnsi" w:cstheme="minorHAnsi"/>
          <w:b/>
          <w:sz w:val="22"/>
          <w:szCs w:val="22"/>
        </w:rPr>
      </w:pPr>
      <w:r w:rsidRPr="00731976">
        <w:rPr>
          <w:rFonts w:asciiTheme="minorHAnsi" w:hAnsiTheme="minorHAnsi" w:cstheme="minorHAnsi"/>
          <w:sz w:val="22"/>
          <w:szCs w:val="22"/>
        </w:rPr>
        <w:t xml:space="preserve">Existing Shareholders of the Receiving Sub-Fund have the right to redeem their </w:t>
      </w:r>
      <w:r w:rsidRPr="00E03629" w:rsidR="00E03629">
        <w:rPr>
          <w:rFonts w:asciiTheme="minorHAnsi" w:hAnsiTheme="minorHAnsi" w:cstheme="minorHAnsi"/>
          <w:sz w:val="22"/>
          <w:szCs w:val="22"/>
        </w:rPr>
        <w:t>Shares</w:t>
      </w:r>
      <w:r w:rsidRPr="00731976">
        <w:rPr>
          <w:rFonts w:asciiTheme="minorHAnsi" w:hAnsiTheme="minorHAnsi" w:cstheme="minorHAnsi"/>
          <w:sz w:val="22"/>
          <w:szCs w:val="22"/>
        </w:rPr>
        <w:t xml:space="preserve"> free of charge or to switch into another sub-fund of Alquity until </w:t>
      </w:r>
      <w:r w:rsidR="00A653D7">
        <w:rPr>
          <w:rFonts w:asciiTheme="minorHAnsi" w:hAnsiTheme="minorHAnsi" w:cstheme="minorHAnsi"/>
          <w:sz w:val="22"/>
          <w:szCs w:val="22"/>
        </w:rPr>
        <w:t xml:space="preserve">5 </w:t>
      </w:r>
      <w:r w:rsidR="000D6053">
        <w:rPr>
          <w:rFonts w:asciiTheme="minorHAnsi" w:hAnsiTheme="minorHAnsi" w:cstheme="minorHAnsi"/>
          <w:sz w:val="22"/>
          <w:szCs w:val="22"/>
        </w:rPr>
        <w:t>December</w:t>
      </w:r>
      <w:r w:rsidRPr="00731976" w:rsidR="000D6053">
        <w:rPr>
          <w:rFonts w:asciiTheme="minorHAnsi" w:hAnsiTheme="minorHAnsi" w:cstheme="minorHAnsi"/>
          <w:sz w:val="22"/>
          <w:szCs w:val="22"/>
        </w:rPr>
        <w:t xml:space="preserve"> </w:t>
      </w:r>
      <w:r w:rsidRPr="00731976">
        <w:rPr>
          <w:rFonts w:asciiTheme="minorHAnsi" w:hAnsiTheme="minorHAnsi" w:cstheme="minorHAnsi"/>
          <w:sz w:val="22"/>
          <w:szCs w:val="22"/>
        </w:rPr>
        <w:t>2024 at the applicable cut-off time stated in the prospectus.</w:t>
      </w:r>
    </w:p>
    <w:p w:rsidRPr="00731976" w:rsidR="007C056D" w:rsidP="00405E8E" w:rsidRDefault="007C056D" w14:paraId="7428A68D" w14:textId="77777777">
      <w:pPr>
        <w:rPr>
          <w:rFonts w:asciiTheme="minorHAnsi" w:hAnsiTheme="minorHAnsi" w:cstheme="minorHAnsi"/>
          <w:sz w:val="22"/>
          <w:szCs w:val="22"/>
        </w:rPr>
      </w:pPr>
    </w:p>
    <w:p w:rsidRPr="00731976" w:rsidR="001D4338" w:rsidP="00405E8E" w:rsidRDefault="001D4338" w14:paraId="7CB631D7" w14:textId="615325F4">
      <w:pPr>
        <w:rPr>
          <w:rFonts w:asciiTheme="minorHAnsi" w:hAnsiTheme="minorHAnsi" w:cstheme="minorHAnsi"/>
          <w:b/>
          <w:bCs/>
          <w:i/>
          <w:iCs/>
          <w:sz w:val="22"/>
          <w:szCs w:val="22"/>
        </w:rPr>
      </w:pPr>
      <w:r w:rsidRPr="00731976">
        <w:rPr>
          <w:rFonts w:asciiTheme="minorHAnsi" w:hAnsiTheme="minorHAnsi" w:cstheme="minorHAnsi"/>
          <w:sz w:val="22"/>
          <w:szCs w:val="22"/>
        </w:rPr>
        <w:t xml:space="preserve">Dealing in </w:t>
      </w:r>
      <w:r w:rsidRPr="00E03629" w:rsidR="00E03629">
        <w:rPr>
          <w:rFonts w:asciiTheme="minorHAnsi" w:hAnsiTheme="minorHAnsi" w:cstheme="minorHAnsi"/>
          <w:sz w:val="22"/>
          <w:szCs w:val="22"/>
        </w:rPr>
        <w:t>Shares</w:t>
      </w:r>
      <w:r w:rsidRPr="00731976">
        <w:rPr>
          <w:rFonts w:asciiTheme="minorHAnsi" w:hAnsiTheme="minorHAnsi" w:cstheme="minorHAnsi"/>
          <w:sz w:val="22"/>
          <w:szCs w:val="22"/>
        </w:rPr>
        <w:t xml:space="preserve"> in the Receiving Sub-Fund will not be suspended because of the Merger. Shareholders can continue to apply for subscriptions, redemptions, and conversions of </w:t>
      </w:r>
      <w:r w:rsidRPr="00E03629" w:rsidR="00E03629">
        <w:rPr>
          <w:rFonts w:asciiTheme="minorHAnsi" w:hAnsiTheme="minorHAnsi" w:cstheme="minorHAnsi"/>
          <w:sz w:val="22"/>
          <w:szCs w:val="22"/>
        </w:rPr>
        <w:t>Shares</w:t>
      </w:r>
      <w:r w:rsidRPr="00731976">
        <w:rPr>
          <w:rFonts w:asciiTheme="minorHAnsi" w:hAnsiTheme="minorHAnsi" w:cstheme="minorHAnsi"/>
          <w:sz w:val="22"/>
          <w:szCs w:val="22"/>
        </w:rPr>
        <w:t xml:space="preserve"> in accordance with the provisions of the prospectus of the Company.</w:t>
      </w:r>
      <w:r w:rsidR="004E4C21">
        <w:rPr>
          <w:rFonts w:asciiTheme="minorHAnsi" w:hAnsiTheme="minorHAnsi" w:cstheme="minorHAnsi"/>
          <w:sz w:val="22"/>
          <w:szCs w:val="22"/>
        </w:rPr>
        <w:t xml:space="preserve"> </w:t>
      </w:r>
    </w:p>
    <w:p w:rsidRPr="00731976" w:rsidR="00405E8E" w:rsidP="00F700A9" w:rsidRDefault="00405E8E" w14:paraId="0400787C" w14:textId="7777777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00810360" w:rsidP="004B75E7" w:rsidRDefault="00F700A9" w14:paraId="55A23DC5" w14:textId="386723A0">
      <w:pPr>
        <w:pStyle w:val="Bullet1"/>
        <w:numPr>
          <w:ilvl w:val="0"/>
          <w:numId w:val="0"/>
        </w:numPr>
        <w:spacing w:line="240" w:lineRule="auto"/>
        <w:rPr>
          <w:rFonts w:asciiTheme="minorHAnsi" w:hAnsiTheme="minorHAnsi" w:cstheme="minorHAnsi"/>
          <w:b/>
          <w:sz w:val="22"/>
          <w:szCs w:val="22"/>
        </w:rPr>
      </w:pPr>
      <w:r w:rsidRPr="00731976">
        <w:rPr>
          <w:rFonts w:asciiTheme="minorHAnsi" w:hAnsiTheme="minorHAnsi" w:cstheme="minorHAnsi"/>
          <w:b/>
          <w:sz w:val="22"/>
          <w:szCs w:val="22"/>
        </w:rPr>
        <w:t>Rationale for the Merger</w:t>
      </w:r>
    </w:p>
    <w:p w:rsidRPr="00ED7ECA" w:rsidR="004B75E7" w:rsidP="002E7C68" w:rsidRDefault="00B51792" w14:paraId="7A18B208" w14:textId="127E941F">
      <w:pPr>
        <w:pStyle w:val="Bullet1"/>
        <w:numPr>
          <w:ilvl w:val="0"/>
          <w:numId w:val="0"/>
        </w:numPr>
        <w:spacing w:line="240" w:lineRule="auto"/>
        <w:rPr>
          <w:rFonts w:eastAsia="Calibri"/>
          <w:lang w:eastAsia="en-US"/>
        </w:rPr>
      </w:pPr>
      <w:r w:rsidRPr="002E7C68">
        <w:rPr>
          <w:rFonts w:asciiTheme="minorHAnsi" w:hAnsiTheme="minorHAnsi" w:cstheme="minorHAnsi"/>
          <w:bCs/>
          <w:sz w:val="22"/>
          <w:szCs w:val="22"/>
        </w:rPr>
        <w:t xml:space="preserve">The Merging Sub-Fund and the Receiving Sub-Fund have similar investment strategies with a focus on emerging markets. The decision to effect the Merger has been taken as a matter of economies of scale and is expected to create better conditions in terms of efficiencies and costs. </w:t>
      </w:r>
    </w:p>
    <w:p w:rsidR="004B75E7" w:rsidP="004B75E7" w:rsidRDefault="004B75E7" w14:paraId="2072C56F" w14:textId="26A42990">
      <w:pPr>
        <w:pStyle w:val="NoSpacing"/>
        <w:spacing w:line="276" w:lineRule="auto"/>
        <w:rPr>
          <w:rFonts w:eastAsia="Calibri" w:asciiTheme="minorHAnsi" w:hAnsiTheme="minorHAnsi" w:cstheme="minorHAnsi"/>
          <w:sz w:val="22"/>
          <w:szCs w:val="22"/>
          <w:lang w:eastAsia="en-US"/>
        </w:rPr>
      </w:pPr>
      <w:r w:rsidRPr="00ED7ECA">
        <w:rPr>
          <w:rFonts w:eastAsia="Calibri" w:asciiTheme="minorHAnsi" w:hAnsiTheme="minorHAnsi" w:cstheme="minorHAnsi"/>
          <w:sz w:val="22"/>
          <w:szCs w:val="22"/>
          <w:lang w:eastAsia="en-US"/>
        </w:rPr>
        <w:t xml:space="preserve">The board of directors of Alquity SICAV and the board of directors of </w:t>
      </w:r>
      <w:r w:rsidRPr="00ED7ECA" w:rsidR="001D4338">
        <w:rPr>
          <w:rFonts w:eastAsia="Calibri" w:asciiTheme="minorHAnsi" w:hAnsiTheme="minorHAnsi" w:cstheme="minorHAnsi"/>
          <w:sz w:val="22"/>
          <w:szCs w:val="22"/>
          <w:lang w:eastAsia="en-US"/>
        </w:rPr>
        <w:t>VAM Funds (Lux)</w:t>
      </w:r>
      <w:r w:rsidRPr="00ED7ECA">
        <w:rPr>
          <w:rFonts w:eastAsia="Calibri" w:asciiTheme="minorHAnsi" w:hAnsiTheme="minorHAnsi" w:cstheme="minorHAnsi"/>
          <w:sz w:val="22"/>
          <w:szCs w:val="22"/>
          <w:lang w:eastAsia="en-US"/>
        </w:rPr>
        <w:t xml:space="preserve"> believe that the implementation of the Merger will ultimately be to the benefit of Shareholders</w:t>
      </w:r>
      <w:r w:rsidR="00B51792">
        <w:rPr>
          <w:rFonts w:eastAsia="Calibri" w:asciiTheme="minorHAnsi" w:hAnsiTheme="minorHAnsi" w:cstheme="minorHAnsi"/>
          <w:sz w:val="22"/>
          <w:szCs w:val="22"/>
          <w:lang w:eastAsia="en-US"/>
        </w:rPr>
        <w:t>.</w:t>
      </w:r>
    </w:p>
    <w:p w:rsidR="000D6053" w:rsidP="004B75E7" w:rsidRDefault="000D6053" w14:paraId="56C87150" w14:textId="77777777">
      <w:pPr>
        <w:pStyle w:val="NoSpacing"/>
        <w:spacing w:line="276" w:lineRule="auto"/>
        <w:rPr>
          <w:rFonts w:eastAsia="Calibri" w:asciiTheme="minorHAnsi" w:hAnsiTheme="minorHAnsi" w:cstheme="minorHAnsi"/>
          <w:sz w:val="22"/>
          <w:szCs w:val="22"/>
          <w:lang w:eastAsia="en-US"/>
        </w:rPr>
      </w:pPr>
    </w:p>
    <w:p w:rsidRPr="00731976" w:rsidR="000D6053" w:rsidP="004B75E7" w:rsidRDefault="000D6053" w14:paraId="7885526E" w14:textId="77777777">
      <w:pPr>
        <w:pStyle w:val="NoSpacing"/>
        <w:spacing w:line="276" w:lineRule="auto"/>
        <w:rPr>
          <w:rFonts w:eastAsia="Calibri" w:asciiTheme="minorHAnsi" w:hAnsiTheme="minorHAnsi" w:cstheme="minorHAnsi"/>
          <w:i/>
          <w:sz w:val="22"/>
          <w:szCs w:val="22"/>
          <w:lang w:eastAsia="en-US"/>
        </w:rPr>
      </w:pPr>
    </w:p>
    <w:p w:rsidRPr="00731976" w:rsidR="004B75E7" w:rsidP="00C8754B" w:rsidRDefault="004B75E7" w14:paraId="5AA761DB" w14:textId="77777777">
      <w:pPr>
        <w:pStyle w:val="NoSpacing"/>
        <w:spacing w:line="276" w:lineRule="auto"/>
        <w:rPr>
          <w:rFonts w:eastAsia="Calibri" w:asciiTheme="minorHAnsi" w:hAnsiTheme="minorHAnsi" w:cstheme="minorHAnsi"/>
          <w:sz w:val="22"/>
          <w:szCs w:val="22"/>
          <w:lang w:eastAsia="en-US"/>
        </w:rPr>
      </w:pPr>
    </w:p>
    <w:p w:rsidRPr="00FA287B" w:rsidR="00F44D34" w:rsidP="00731976" w:rsidRDefault="00F700A9" w14:paraId="191790F5" w14:textId="654C3B12">
      <w:pPr>
        <w:pStyle w:val="Bullet1"/>
        <w:numPr>
          <w:ilvl w:val="0"/>
          <w:numId w:val="0"/>
        </w:numPr>
        <w:spacing w:line="240" w:lineRule="auto"/>
        <w:rPr>
          <w:rFonts w:eastAsia="Calibri"/>
          <w:lang w:eastAsia="en-US"/>
        </w:rPr>
      </w:pPr>
      <w:r w:rsidRPr="00731976">
        <w:rPr>
          <w:rFonts w:asciiTheme="minorHAnsi" w:hAnsiTheme="minorHAnsi" w:cstheme="minorHAnsi"/>
          <w:b/>
          <w:sz w:val="22"/>
          <w:szCs w:val="22"/>
        </w:rPr>
        <w:t xml:space="preserve">Comparison of the </w:t>
      </w:r>
      <w:r w:rsidRPr="00731976" w:rsidR="007A5A9B">
        <w:rPr>
          <w:rFonts w:asciiTheme="minorHAnsi" w:hAnsiTheme="minorHAnsi" w:cstheme="minorHAnsi"/>
          <w:b/>
          <w:sz w:val="22"/>
          <w:szCs w:val="22"/>
        </w:rPr>
        <w:t>Merging Sub-Fund</w:t>
      </w:r>
      <w:r w:rsidRPr="00731976">
        <w:rPr>
          <w:rFonts w:asciiTheme="minorHAnsi" w:hAnsiTheme="minorHAnsi" w:cstheme="minorHAnsi"/>
          <w:b/>
          <w:sz w:val="22"/>
          <w:szCs w:val="22"/>
        </w:rPr>
        <w:t xml:space="preserve"> and the </w:t>
      </w:r>
      <w:r w:rsidRPr="00731976" w:rsidR="007A5A9B">
        <w:rPr>
          <w:rFonts w:asciiTheme="minorHAnsi" w:hAnsiTheme="minorHAnsi" w:cstheme="minorHAnsi"/>
          <w:b/>
          <w:sz w:val="22"/>
          <w:szCs w:val="22"/>
        </w:rPr>
        <w:t>Receiving Sub-Fund</w:t>
      </w:r>
      <w:r w:rsidRPr="00731976">
        <w:rPr>
          <w:rFonts w:asciiTheme="minorHAnsi" w:hAnsiTheme="minorHAnsi" w:cstheme="minorHAnsi"/>
          <w:b/>
          <w:sz w:val="22"/>
          <w:szCs w:val="22"/>
        </w:rPr>
        <w:t xml:space="preserve"> </w:t>
      </w:r>
    </w:p>
    <w:p w:rsidRPr="007C056D" w:rsidR="007C056D" w:rsidP="007C056D" w:rsidRDefault="007C056D" w14:paraId="1B8BEB7A"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The Merging Sub-Fund aims to achieve capital appreciation over each full market cycle. To achieve this objective, the Merging Sub-Fund will gain exposure, directly or indirectly, to unleveraged portfolio of equity and equity-convertible securities, or collective investments whose underlying assets comprise, of companies in emerging markets and frontier markets. It may also invest in companies with a wide range of market capitalisations and with limited operating histories. The Merging Sub-Fund may also invest directly up to 10% of its net assets (i) in China A-Shares through the Shanghai-Hong Kong Stock Connect, Shenzhen – Hong Kong Stock Connect and (ii) in units of UCITS or other UCIs.</w:t>
      </w:r>
    </w:p>
    <w:p w:rsidRPr="007C056D" w:rsidR="007C056D" w:rsidP="007C056D" w:rsidRDefault="007C056D" w14:paraId="61D55CD1"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7C056D" w:rsidR="007C056D" w:rsidP="007C056D" w:rsidRDefault="007C056D" w14:paraId="5156B24A"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The Receiving Sub-Fund seeks long term capital appreciation by investing at least 70% of its net assets in (i) equity securities listed on the Regulated Markets of countries in Asia, Africa, Central &amp; Eastern Europe, Latin American countries, and the Middle East which are listed as a frontier market or emerging market in the MSCI Frontier Markets Index or MSCI Emerging Markets Index (collectively the "Emerging and Frontier Markets") and (ii) equity securities listed on the Regulated Markets outside of the Emerging and Frontier Markets whose issuers either have more than 50% of their assets, or have realized more than 50% of their revenue, net income and/or operating profit, in the Emerging and Frontier Markets.</w:t>
      </w:r>
    </w:p>
    <w:p w:rsidRPr="007C056D" w:rsidR="007C056D" w:rsidP="007C056D" w:rsidRDefault="007C056D" w14:paraId="06029E19"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The Receiving may also invest up to 50% of its net assets in China A Shares via Stock Connect.</w:t>
      </w:r>
    </w:p>
    <w:p w:rsidRPr="007C056D" w:rsidR="007C056D" w:rsidP="007C056D" w:rsidRDefault="007C056D" w14:paraId="2D77D710"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7C056D" w:rsidR="007C056D" w:rsidP="007C056D" w:rsidRDefault="007C056D" w14:paraId="69823A35" w14:textId="77777777">
      <w:pPr>
        <w:widowControl w:val="0"/>
        <w:overflowPunct w:val="0"/>
        <w:autoSpaceDE w:val="0"/>
        <w:autoSpaceDN w:val="0"/>
        <w:adjustRightInd w:val="0"/>
        <w:spacing w:line="300" w:lineRule="auto"/>
        <w:textAlignment w:val="baseline"/>
        <w:rPr>
          <w:rFonts w:asciiTheme="minorHAnsi" w:hAnsiTheme="minorHAnsi" w:cstheme="minorHAnsi"/>
          <w:b/>
          <w:sz w:val="22"/>
          <w:szCs w:val="22"/>
          <w:lang w:val="en-US" w:eastAsia="en-US"/>
        </w:rPr>
      </w:pPr>
      <w:r w:rsidRPr="007C056D">
        <w:rPr>
          <w:rFonts w:asciiTheme="minorHAnsi" w:hAnsiTheme="minorHAnsi" w:cstheme="minorHAnsi"/>
          <w:b/>
          <w:sz w:val="22"/>
          <w:szCs w:val="22"/>
          <w:lang w:val="en-US" w:eastAsia="en-US"/>
        </w:rPr>
        <w:t>The Merging Sub-Fund primarily focuses on unleveraged equity exposure in emerging and frontier markets, including up to 10% investment in China A-Shares, while the Receiving Sub-Fund invests at least 70% of its assets in equity securities of companies in emerging and frontier markets or those generating more than 50% of their business in these regions.</w:t>
      </w:r>
    </w:p>
    <w:p w:rsidRPr="007C056D" w:rsidR="007C056D" w:rsidP="007C056D" w:rsidRDefault="007C056D" w14:paraId="43FFE257"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7C056D" w:rsidR="007C056D" w:rsidP="007C056D" w:rsidRDefault="007C056D" w14:paraId="4A9AEA56" w14:textId="162FE303">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 xml:space="preserve">The Merging Sub-Funds does not use derivative instruments, </w:t>
      </w:r>
      <w:r w:rsidRPr="007C056D">
        <w:rPr>
          <w:rFonts w:asciiTheme="minorHAnsi" w:hAnsiTheme="minorHAnsi" w:cstheme="minorHAnsi"/>
          <w:b/>
          <w:sz w:val="22"/>
          <w:szCs w:val="22"/>
          <w:lang w:eastAsia="en-US"/>
        </w:rPr>
        <w:t>whereas</w:t>
      </w:r>
      <w:r w:rsidRPr="007C056D">
        <w:rPr>
          <w:rFonts w:asciiTheme="minorHAnsi" w:hAnsiTheme="minorHAnsi" w:cstheme="minorHAnsi"/>
          <w:sz w:val="22"/>
          <w:szCs w:val="22"/>
          <w:lang w:eastAsia="en-US"/>
        </w:rPr>
        <w:t xml:space="preserve"> the Receiving Sub-Fund may use financial techniques and instruments such as call and put options and financial futures (both index and OTC) for efficient portfolio management or to attempt to hedge or reduce the overall risk of its investments. For so long as it remains authorised for public offering in Hong Kong, the Receiving Sub-Fund will not use financial derivative instruments primarily or extensively for investment purposes without the prior approval of the relevant regulatory authority in Hong Kong. If the Receiving Sub-Fund wishes to use financial derivative instruments primarily or extensively for investment purposes, at least one month’s prior notice will be given to shareholders and the prospectus will be amended accordingly.</w:t>
      </w:r>
    </w:p>
    <w:p w:rsidRPr="007C056D" w:rsidR="007C056D" w:rsidP="007C056D" w:rsidRDefault="007C056D" w14:paraId="341CD111"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7C056D" w:rsidR="007C056D" w:rsidP="007C056D" w:rsidRDefault="007C056D" w14:paraId="508D3B43"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7C056D">
        <w:rPr>
          <w:rFonts w:asciiTheme="minorHAnsi" w:hAnsiTheme="minorHAnsi" w:cstheme="minorHAnsi"/>
          <w:iCs/>
          <w:sz w:val="22"/>
          <w:szCs w:val="22"/>
          <w:lang w:eastAsia="en-US"/>
        </w:rPr>
        <w:t>The Merging Sub-Fund and the Receiving Sub-fund may hold ancillary liquid assets.</w:t>
      </w:r>
    </w:p>
    <w:p w:rsidRPr="007C056D" w:rsidR="007C056D" w:rsidP="007C056D" w:rsidRDefault="007C056D" w14:paraId="55275B1F"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p>
    <w:p w:rsidRPr="007C056D" w:rsidR="007C056D" w:rsidP="007C056D" w:rsidRDefault="007C056D" w14:paraId="61DF8FAC" w14:textId="136C872F">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Both Sub-</w:t>
      </w:r>
      <w:r w:rsidR="006B16CB">
        <w:rPr>
          <w:rFonts w:asciiTheme="minorHAnsi" w:hAnsiTheme="minorHAnsi" w:cstheme="minorHAnsi"/>
          <w:sz w:val="22"/>
          <w:szCs w:val="22"/>
          <w:lang w:eastAsia="en-US"/>
        </w:rPr>
        <w:t>F</w:t>
      </w:r>
      <w:r w:rsidRPr="007C056D">
        <w:rPr>
          <w:rFonts w:asciiTheme="minorHAnsi" w:hAnsiTheme="minorHAnsi" w:cstheme="minorHAnsi"/>
          <w:sz w:val="22"/>
          <w:szCs w:val="22"/>
          <w:lang w:eastAsia="en-US"/>
        </w:rPr>
        <w:t>unds are actively managed and use the commitment approach to calculate their respective global risk exposures.</w:t>
      </w:r>
    </w:p>
    <w:p w:rsidRPr="007C056D" w:rsidR="007C056D" w:rsidP="007C056D" w:rsidRDefault="007C056D" w14:paraId="5897AA66"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val="en-US" w:eastAsia="en-US"/>
        </w:rPr>
      </w:pPr>
    </w:p>
    <w:p w:rsidRPr="007C056D" w:rsidR="007C056D" w:rsidP="007C056D" w:rsidRDefault="007C056D" w14:paraId="4D7100FE"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7C056D">
        <w:rPr>
          <w:rFonts w:asciiTheme="minorHAnsi" w:hAnsiTheme="minorHAnsi" w:cstheme="minorHAnsi"/>
          <w:sz w:val="22"/>
          <w:szCs w:val="22"/>
          <w:lang w:eastAsia="en-US"/>
        </w:rPr>
        <w:t>The Receiving Sub-Fund promotes environmental and social objectives within the meaning of the SFDR regulation and is therefore classified under the disclosure regime of Article 8 of SFDR, while the Merging Sub-Fund does not promote environmental and/or social characteristics within the meaning of the SFDR regulation and is therefore classified under the disclosure regime of Article 6 of SFDR.</w:t>
      </w:r>
    </w:p>
    <w:p w:rsidRPr="007C056D" w:rsidR="007C056D" w:rsidP="007C056D" w:rsidRDefault="007C056D" w14:paraId="033FE65F"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7C056D" w:rsidR="007C056D" w:rsidP="007C056D" w:rsidRDefault="007C056D" w14:paraId="457572AC" w14:textId="20D2751C">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7C056D">
        <w:rPr>
          <w:rFonts w:asciiTheme="minorHAnsi" w:hAnsiTheme="minorHAnsi" w:cstheme="minorHAnsi"/>
          <w:iCs/>
          <w:sz w:val="22"/>
          <w:szCs w:val="22"/>
          <w:lang w:eastAsia="en-US"/>
        </w:rPr>
        <w:t xml:space="preserve">The SRI is </w:t>
      </w:r>
      <w:r w:rsidR="00EC3A47">
        <w:rPr>
          <w:rFonts w:asciiTheme="minorHAnsi" w:hAnsiTheme="minorHAnsi" w:cstheme="minorHAnsi"/>
          <w:iCs/>
          <w:sz w:val="22"/>
          <w:szCs w:val="22"/>
          <w:lang w:eastAsia="en-US"/>
        </w:rPr>
        <w:t>4 for both the</w:t>
      </w:r>
      <w:r w:rsidRPr="007C056D" w:rsidR="00EC3A47">
        <w:rPr>
          <w:rFonts w:asciiTheme="minorHAnsi" w:hAnsiTheme="minorHAnsi" w:cstheme="minorHAnsi"/>
          <w:iCs/>
          <w:sz w:val="22"/>
          <w:szCs w:val="22"/>
          <w:lang w:eastAsia="en-US"/>
        </w:rPr>
        <w:t xml:space="preserve"> </w:t>
      </w:r>
      <w:r w:rsidRPr="007C056D">
        <w:rPr>
          <w:rFonts w:asciiTheme="minorHAnsi" w:hAnsiTheme="minorHAnsi" w:cstheme="minorHAnsi"/>
          <w:iCs/>
          <w:sz w:val="22"/>
          <w:szCs w:val="22"/>
          <w:lang w:eastAsia="en-US"/>
        </w:rPr>
        <w:t xml:space="preserve">Merging Sub-Fund and the Receiving Sub-Fund.  </w:t>
      </w:r>
    </w:p>
    <w:p w:rsidRPr="007C056D" w:rsidR="007C056D" w:rsidP="007C056D" w:rsidRDefault="007C056D" w14:paraId="45BD181D"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p>
    <w:p w:rsidRPr="007C056D" w:rsidR="0050148E" w:rsidP="007C056D" w:rsidRDefault="007C056D" w14:paraId="4DD5B435" w14:textId="3774F60B">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7C056D">
        <w:rPr>
          <w:rFonts w:asciiTheme="minorHAnsi" w:hAnsiTheme="minorHAnsi" w:cstheme="minorHAnsi"/>
          <w:iCs/>
          <w:sz w:val="22"/>
          <w:szCs w:val="22"/>
          <w:lang w:eastAsia="en-US"/>
        </w:rPr>
        <w:t xml:space="preserve">The ongoing charges of the Receiving Sub-Fund are lower than those of the Merging Sub-Fund. </w:t>
      </w:r>
    </w:p>
    <w:p w:rsidRPr="007C056D" w:rsidR="007C056D" w:rsidP="007C056D" w:rsidRDefault="007C056D" w14:paraId="40DC8339"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007C056D" w:rsidP="007C056D" w:rsidRDefault="007C056D" w14:paraId="66A2E8F7" w14:textId="03E175A2">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7C056D">
        <w:rPr>
          <w:rFonts w:asciiTheme="minorHAnsi" w:hAnsiTheme="minorHAnsi" w:cstheme="minorHAnsi"/>
          <w:iCs/>
          <w:sz w:val="22"/>
          <w:szCs w:val="22"/>
          <w:lang w:eastAsia="en-US"/>
        </w:rPr>
        <w:t xml:space="preserve">The management fees of the Receiving Sub-Fund are </w:t>
      </w:r>
      <w:r w:rsidR="00A653D7">
        <w:rPr>
          <w:rFonts w:asciiTheme="minorHAnsi" w:hAnsiTheme="minorHAnsi" w:cstheme="minorHAnsi"/>
          <w:iCs/>
          <w:sz w:val="22"/>
          <w:szCs w:val="22"/>
          <w:lang w:eastAsia="en-US"/>
        </w:rPr>
        <w:t xml:space="preserve">expected to be equal or lower </w:t>
      </w:r>
      <w:r w:rsidRPr="007C056D">
        <w:rPr>
          <w:rFonts w:asciiTheme="minorHAnsi" w:hAnsiTheme="minorHAnsi" w:cstheme="minorHAnsi"/>
          <w:iCs/>
          <w:sz w:val="22"/>
          <w:szCs w:val="22"/>
          <w:lang w:eastAsia="en-US"/>
        </w:rPr>
        <w:t>than those of the Merging Sub-Fund.</w:t>
      </w:r>
    </w:p>
    <w:p w:rsidRPr="007C056D" w:rsidR="0050148E" w:rsidP="007C056D" w:rsidRDefault="0050148E" w14:paraId="1CD0D58F"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p>
    <w:p w:rsidR="00F700A9" w:rsidP="00731976" w:rsidRDefault="00F700A9" w14:paraId="65A4AB64" w14:textId="54F42BFD">
      <w:pPr>
        <w:tabs>
          <w:tab w:val="left" w:pos="851"/>
          <w:tab w:val="left" w:pos="1701"/>
          <w:tab w:val="left" w:pos="2835"/>
          <w:tab w:val="left" w:pos="4253"/>
        </w:tabs>
        <w:spacing w:line="276" w:lineRule="auto"/>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A comparison of the principal features of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and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is set out in Appendix 2.</w:t>
      </w:r>
    </w:p>
    <w:p w:rsidRPr="00731976" w:rsidR="00810360" w:rsidP="00731976" w:rsidRDefault="00810360" w14:paraId="2D73F37F" w14:textId="77777777">
      <w:pPr>
        <w:tabs>
          <w:tab w:val="left" w:pos="851"/>
          <w:tab w:val="left" w:pos="1701"/>
          <w:tab w:val="left" w:pos="2835"/>
          <w:tab w:val="left" w:pos="4253"/>
        </w:tabs>
        <w:spacing w:line="276" w:lineRule="auto"/>
        <w:rPr>
          <w:rFonts w:asciiTheme="minorHAnsi" w:hAnsiTheme="minorHAnsi" w:cstheme="minorHAnsi"/>
          <w:color w:val="000000"/>
          <w:sz w:val="22"/>
          <w:szCs w:val="22"/>
        </w:rPr>
      </w:pPr>
    </w:p>
    <w:p w:rsidRPr="00731976" w:rsidR="00F700A9" w:rsidP="00F700A9" w:rsidRDefault="00F700A9" w14:paraId="0FEF9115" w14:textId="77777777">
      <w:pPr>
        <w:keepNext/>
        <w:keepLines/>
        <w:rPr>
          <w:rFonts w:asciiTheme="minorHAnsi" w:hAnsiTheme="minorHAnsi" w:cstheme="minorHAnsi"/>
          <w:sz w:val="22"/>
          <w:szCs w:val="22"/>
        </w:rPr>
      </w:pPr>
      <w:r w:rsidRPr="00731976">
        <w:rPr>
          <w:rFonts w:asciiTheme="minorHAnsi" w:hAnsiTheme="minorHAnsi" w:cstheme="minorHAnsi"/>
          <w:b/>
          <w:sz w:val="22"/>
          <w:szCs w:val="22"/>
        </w:rPr>
        <w:t>Terms of the Merger</w:t>
      </w:r>
    </w:p>
    <w:p w:rsidRPr="00731976" w:rsidR="00F700A9" w:rsidP="00F700A9" w:rsidRDefault="00F700A9" w14:paraId="749D977C" w14:textId="77777777">
      <w:pPr>
        <w:keepNext/>
        <w:keepLines/>
        <w:rPr>
          <w:rFonts w:asciiTheme="minorHAnsi" w:hAnsiTheme="minorHAnsi" w:cstheme="minorHAnsi"/>
          <w:sz w:val="22"/>
          <w:szCs w:val="22"/>
        </w:rPr>
      </w:pPr>
    </w:p>
    <w:p w:rsidRPr="00731976" w:rsidR="00F700A9" w:rsidP="00F700A9" w:rsidRDefault="00F700A9" w14:paraId="5CC96D7A" w14:textId="70230E16">
      <w:pPr>
        <w:keepNext/>
        <w:keepLines/>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On the Effective Date, Shareholders who have not redeemed their Shares in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w:t>
      </w:r>
      <w:r w:rsidRPr="00731976" w:rsidR="002F6C60">
        <w:rPr>
          <w:rFonts w:asciiTheme="minorHAnsi" w:hAnsiTheme="minorHAnsi" w:cstheme="minorHAnsi"/>
          <w:color w:val="000000"/>
          <w:sz w:val="22"/>
          <w:szCs w:val="22"/>
        </w:rPr>
        <w:t xml:space="preserve">as set out in </w:t>
      </w:r>
      <w:r w:rsidRPr="00731976" w:rsidR="002F6C60">
        <w:rPr>
          <w:rFonts w:asciiTheme="minorHAnsi" w:hAnsiTheme="minorHAnsi" w:cstheme="minorHAnsi"/>
          <w:i/>
          <w:color w:val="000000"/>
          <w:sz w:val="22"/>
          <w:szCs w:val="22"/>
        </w:rPr>
        <w:t>What to do next</w:t>
      </w:r>
      <w:r w:rsidRPr="00731976" w:rsidR="002F6C60">
        <w:rPr>
          <w:rFonts w:asciiTheme="minorHAnsi" w:hAnsiTheme="minorHAnsi" w:cstheme="minorHAnsi"/>
          <w:color w:val="000000"/>
          <w:sz w:val="22"/>
          <w:szCs w:val="22"/>
        </w:rPr>
        <w:t xml:space="preserve"> above) </w:t>
      </w:r>
      <w:r w:rsidRPr="00731976">
        <w:rPr>
          <w:rFonts w:asciiTheme="minorHAnsi" w:hAnsiTheme="minorHAnsi" w:cstheme="minorHAnsi"/>
          <w:color w:val="000000"/>
          <w:sz w:val="22"/>
          <w:szCs w:val="22"/>
        </w:rPr>
        <w:t xml:space="preserve">will become Shareholders of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and will receive corresponding New Shares in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of the same type in exchange for the transfer of the assets and liabilities of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to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Shares in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will be deemed to have been cancelled and will cease to be of any value.</w:t>
      </w:r>
      <w:r w:rsidRPr="00731976">
        <w:rPr>
          <w:rFonts w:asciiTheme="minorHAnsi" w:hAnsiTheme="minorHAnsi" w:cstheme="minorHAnsi"/>
          <w:sz w:val="22"/>
          <w:szCs w:val="22"/>
        </w:rPr>
        <w:t xml:space="preserve"> </w:t>
      </w:r>
    </w:p>
    <w:p w:rsidRPr="00731976" w:rsidR="00F700A9" w:rsidP="00F700A9" w:rsidRDefault="00F700A9" w14:paraId="3679BDDC" w14:textId="77777777">
      <w:pPr>
        <w:rPr>
          <w:rFonts w:asciiTheme="minorHAnsi" w:hAnsiTheme="minorHAnsi" w:cstheme="minorHAnsi"/>
          <w:color w:val="000000"/>
          <w:sz w:val="22"/>
          <w:szCs w:val="22"/>
        </w:rPr>
      </w:pPr>
    </w:p>
    <w:p w:rsidRPr="00731976" w:rsidR="00F700A9" w:rsidP="00F700A9" w:rsidRDefault="00F700A9" w14:paraId="777560E8" w14:textId="7AE8934E">
      <w:pPr>
        <w:rPr>
          <w:rFonts w:asciiTheme="minorHAnsi" w:hAnsiTheme="minorHAnsi" w:cstheme="minorHAnsi"/>
          <w:color w:val="000000"/>
          <w:sz w:val="22"/>
          <w:szCs w:val="22"/>
        </w:rPr>
      </w:pPr>
      <w:r w:rsidRPr="00731976">
        <w:rPr>
          <w:rFonts w:asciiTheme="minorHAnsi" w:hAnsiTheme="minorHAnsi" w:cstheme="minorHAnsi"/>
          <w:color w:val="000000"/>
          <w:sz w:val="22"/>
          <w:szCs w:val="22"/>
        </w:rPr>
        <w:t>The Classes of New Shares to be issued to Shareholders pursuant to the Merger are as follows:</w:t>
      </w:r>
    </w:p>
    <w:p w:rsidRPr="00731976" w:rsidR="00F700A9" w:rsidP="00F700A9" w:rsidRDefault="00F700A9" w14:paraId="6D13A920" w14:textId="77777777">
      <w:pPr>
        <w:rPr>
          <w:rFonts w:asciiTheme="minorHAnsi" w:hAnsiTheme="minorHAnsi" w:cstheme="minorHAnsi"/>
          <w:color w:val="000000"/>
          <w:sz w:val="22"/>
          <w:szCs w:val="22"/>
        </w:rPr>
      </w:pPr>
    </w:p>
    <w:p w:rsidRPr="00731976" w:rsidR="004B75E7" w:rsidP="00F700A9" w:rsidRDefault="004B75E7" w14:paraId="3F7CBF8A" w14:textId="77777777">
      <w:pPr>
        <w:rPr>
          <w:rFonts w:asciiTheme="minorHAnsi" w:hAnsiTheme="minorHAnsi" w:cstheme="minorHAnsi"/>
          <w:color w:val="000000"/>
          <w:sz w:val="22"/>
          <w:szCs w:val="22"/>
        </w:rPr>
      </w:pPr>
    </w:p>
    <w:tbl>
      <w:tblPr>
        <w:tblStyle w:val="TableGrid"/>
        <w:tblW w:w="7648" w:type="dxa"/>
        <w:tblInd w:w="240" w:type="dxa"/>
        <w:tblLayout w:type="fixed"/>
        <w:tblLook w:val="04A0" w:firstRow="1" w:lastRow="0" w:firstColumn="1" w:lastColumn="0" w:noHBand="0" w:noVBand="1"/>
      </w:tblPr>
      <w:tblGrid>
        <w:gridCol w:w="1998"/>
        <w:gridCol w:w="1809"/>
        <w:gridCol w:w="1809"/>
        <w:gridCol w:w="2032"/>
      </w:tblGrid>
      <w:tr w:rsidRPr="004E4C21" w:rsidR="001E1733" w:rsidTr="00C8754B" w14:paraId="53CE04A8" w14:textId="77777777">
        <w:trPr>
          <w:trHeight w:val="485"/>
        </w:trPr>
        <w:tc>
          <w:tcPr>
            <w:tcW w:w="3807" w:type="dxa"/>
            <w:gridSpan w:val="2"/>
            <w:vAlign w:val="center"/>
          </w:tcPr>
          <w:p w:rsidRPr="00731976" w:rsidR="001E1733" w:rsidP="00C8754B" w:rsidRDefault="001E1733" w14:paraId="790E0F9D" w14:textId="03F28AD7">
            <w:pPr>
              <w:jc w:val="center"/>
              <w:rPr>
                <w:rFonts w:asciiTheme="minorHAnsi" w:hAnsiTheme="minorHAnsi" w:cstheme="minorHAnsi"/>
                <w:b/>
                <w:sz w:val="22"/>
                <w:szCs w:val="22"/>
              </w:rPr>
            </w:pPr>
            <w:r w:rsidRPr="00731976">
              <w:rPr>
                <w:rFonts w:asciiTheme="minorHAnsi" w:hAnsiTheme="minorHAnsi" w:cstheme="minorHAnsi"/>
                <w:b/>
                <w:sz w:val="22"/>
                <w:szCs w:val="22"/>
              </w:rPr>
              <w:t>Merging Sub-Fund</w:t>
            </w:r>
          </w:p>
        </w:tc>
        <w:tc>
          <w:tcPr>
            <w:tcW w:w="3841" w:type="dxa"/>
            <w:gridSpan w:val="2"/>
            <w:tcBorders>
              <w:left w:val="single" w:color="auto" w:sz="4" w:space="0"/>
            </w:tcBorders>
            <w:vAlign w:val="center"/>
          </w:tcPr>
          <w:p w:rsidRPr="00731976" w:rsidR="001E1733" w:rsidP="00C8754B" w:rsidRDefault="001E1733" w14:paraId="7E1DAEF6" w14:textId="5092067A">
            <w:pPr>
              <w:jc w:val="center"/>
              <w:rPr>
                <w:rFonts w:asciiTheme="minorHAnsi" w:hAnsiTheme="minorHAnsi" w:cstheme="minorHAnsi"/>
                <w:b/>
                <w:sz w:val="22"/>
                <w:szCs w:val="22"/>
              </w:rPr>
            </w:pPr>
            <w:r w:rsidRPr="00731976">
              <w:rPr>
                <w:rFonts w:asciiTheme="minorHAnsi" w:hAnsiTheme="minorHAnsi" w:cstheme="minorHAnsi"/>
                <w:b/>
                <w:sz w:val="22"/>
                <w:szCs w:val="22"/>
              </w:rPr>
              <w:t>Receiving Sub-Fund</w:t>
            </w:r>
          </w:p>
        </w:tc>
      </w:tr>
      <w:tr w:rsidRPr="004E4C21" w:rsidR="004B75E7" w:rsidTr="00C8754B" w14:paraId="1FA1EDC4" w14:textId="77777777">
        <w:trPr>
          <w:trHeight w:val="485"/>
        </w:trPr>
        <w:tc>
          <w:tcPr>
            <w:tcW w:w="1998" w:type="dxa"/>
            <w:vAlign w:val="center"/>
          </w:tcPr>
          <w:p w:rsidRPr="00731976" w:rsidR="004B75E7" w:rsidP="0037631A" w:rsidRDefault="004B75E7" w14:paraId="44E93838" w14:textId="77777777">
            <w:pPr>
              <w:rPr>
                <w:rFonts w:asciiTheme="minorHAnsi" w:hAnsiTheme="minorHAnsi" w:cstheme="minorHAnsi"/>
                <w:b/>
                <w:sz w:val="22"/>
                <w:szCs w:val="22"/>
              </w:rPr>
            </w:pPr>
            <w:r w:rsidRPr="00731976">
              <w:rPr>
                <w:rFonts w:asciiTheme="minorHAnsi" w:hAnsiTheme="minorHAnsi" w:cstheme="minorHAnsi"/>
                <w:b/>
                <w:sz w:val="22"/>
                <w:szCs w:val="22"/>
              </w:rPr>
              <w:t>Class of Shares</w:t>
            </w:r>
          </w:p>
        </w:tc>
        <w:tc>
          <w:tcPr>
            <w:tcW w:w="1809" w:type="dxa"/>
            <w:vAlign w:val="center"/>
          </w:tcPr>
          <w:p w:rsidRPr="00731976" w:rsidR="004B75E7" w:rsidP="0037631A" w:rsidRDefault="004B75E7" w14:paraId="421EA133" w14:textId="77777777">
            <w:pPr>
              <w:rPr>
                <w:rFonts w:asciiTheme="minorHAnsi" w:hAnsiTheme="minorHAnsi" w:cstheme="minorHAnsi"/>
                <w:b/>
                <w:sz w:val="22"/>
                <w:szCs w:val="22"/>
              </w:rPr>
            </w:pPr>
            <w:r w:rsidRPr="00731976">
              <w:rPr>
                <w:rFonts w:asciiTheme="minorHAnsi" w:hAnsiTheme="minorHAnsi" w:cstheme="minorHAnsi"/>
                <w:b/>
                <w:sz w:val="22"/>
                <w:szCs w:val="22"/>
              </w:rPr>
              <w:t>ISIN code</w:t>
            </w:r>
          </w:p>
        </w:tc>
        <w:tc>
          <w:tcPr>
            <w:tcW w:w="1809" w:type="dxa"/>
            <w:tcBorders>
              <w:left w:val="single" w:color="auto" w:sz="4" w:space="0"/>
            </w:tcBorders>
            <w:vAlign w:val="center"/>
          </w:tcPr>
          <w:p w:rsidRPr="00731976" w:rsidR="004B75E7" w:rsidP="0037631A" w:rsidRDefault="004B75E7" w14:paraId="1F38F8B5" w14:textId="6EF636B2">
            <w:pPr>
              <w:rPr>
                <w:rFonts w:asciiTheme="minorHAnsi" w:hAnsiTheme="minorHAnsi" w:cstheme="minorHAnsi"/>
                <w:b/>
                <w:sz w:val="22"/>
                <w:szCs w:val="22"/>
              </w:rPr>
            </w:pPr>
            <w:r w:rsidRPr="00731976">
              <w:rPr>
                <w:rFonts w:asciiTheme="minorHAnsi" w:hAnsiTheme="minorHAnsi" w:cstheme="minorHAnsi"/>
                <w:b/>
                <w:sz w:val="22"/>
                <w:szCs w:val="22"/>
              </w:rPr>
              <w:t>Class of New Shares</w:t>
            </w:r>
          </w:p>
        </w:tc>
        <w:tc>
          <w:tcPr>
            <w:tcW w:w="2032" w:type="dxa"/>
            <w:tcBorders>
              <w:left w:val="single" w:color="auto" w:sz="4" w:space="0"/>
            </w:tcBorders>
            <w:vAlign w:val="center"/>
          </w:tcPr>
          <w:p w:rsidRPr="00731976" w:rsidR="004B75E7" w:rsidP="0037631A" w:rsidRDefault="004B75E7" w14:paraId="67A9F053" w14:textId="77777777">
            <w:pPr>
              <w:rPr>
                <w:rFonts w:asciiTheme="minorHAnsi" w:hAnsiTheme="minorHAnsi" w:cstheme="minorHAnsi"/>
                <w:b/>
                <w:sz w:val="22"/>
                <w:szCs w:val="22"/>
              </w:rPr>
            </w:pPr>
            <w:r w:rsidRPr="00731976">
              <w:rPr>
                <w:rFonts w:asciiTheme="minorHAnsi" w:hAnsiTheme="minorHAnsi" w:cstheme="minorHAnsi"/>
                <w:b/>
                <w:sz w:val="22"/>
                <w:szCs w:val="22"/>
              </w:rPr>
              <w:t>ISIN code</w:t>
            </w:r>
          </w:p>
        </w:tc>
      </w:tr>
      <w:tr w:rsidRPr="004E4C21" w:rsidR="002E7C68" w:rsidTr="00C8754B" w14:paraId="1273D327" w14:textId="77777777">
        <w:trPr>
          <w:trHeight w:val="485"/>
        </w:trPr>
        <w:tc>
          <w:tcPr>
            <w:tcW w:w="1998" w:type="dxa"/>
          </w:tcPr>
          <w:p w:rsidRPr="00731976" w:rsidR="002E7C68" w:rsidP="002E7C68" w:rsidRDefault="002E7C68" w14:paraId="3EF9EFBF" w14:textId="769D4CF6">
            <w:pPr>
              <w:rPr>
                <w:rFonts w:asciiTheme="minorHAnsi" w:hAnsiTheme="minorHAnsi" w:cstheme="minorHAnsi"/>
                <w:sz w:val="22"/>
                <w:szCs w:val="22"/>
              </w:rPr>
            </w:pPr>
            <w:r w:rsidRPr="00543980">
              <w:rPr>
                <w:rFonts w:ascii="Calibri" w:hAnsi="Calibri" w:cs="Calibri"/>
                <w:color w:val="000000"/>
                <w:sz w:val="22"/>
                <w:szCs w:val="22"/>
              </w:rPr>
              <w:t>A USD</w:t>
            </w:r>
          </w:p>
        </w:tc>
        <w:tc>
          <w:tcPr>
            <w:tcW w:w="1809" w:type="dxa"/>
          </w:tcPr>
          <w:p w:rsidRPr="00731976" w:rsidR="002E7C68" w:rsidP="002E7C68" w:rsidRDefault="002E7C68" w14:paraId="156F4629" w14:textId="0B9E74C7">
            <w:pPr>
              <w:rPr>
                <w:rFonts w:asciiTheme="minorHAnsi" w:hAnsiTheme="minorHAnsi" w:cstheme="minorHAnsi"/>
                <w:b/>
                <w:sz w:val="22"/>
                <w:szCs w:val="22"/>
              </w:rPr>
            </w:pPr>
            <w:r w:rsidRPr="000669D0">
              <w:rPr>
                <w:rFonts w:ascii="Calibri" w:hAnsi="Calibri" w:cs="Calibri"/>
                <w:color w:val="000000"/>
                <w:sz w:val="22"/>
                <w:szCs w:val="22"/>
              </w:rPr>
              <w:t>LU0293692165</w:t>
            </w:r>
          </w:p>
        </w:tc>
        <w:tc>
          <w:tcPr>
            <w:tcW w:w="1809" w:type="dxa"/>
            <w:shd w:val="clear" w:color="auto" w:fill="auto"/>
          </w:tcPr>
          <w:p w:rsidRPr="00731976" w:rsidR="002E7C68" w:rsidP="002E7C68" w:rsidRDefault="002E7C68" w14:paraId="727CB744" w14:textId="58F2B010">
            <w:pPr>
              <w:rPr>
                <w:rFonts w:asciiTheme="minorHAnsi" w:hAnsiTheme="minorHAnsi" w:cstheme="minorHAnsi"/>
                <w:sz w:val="22"/>
                <w:szCs w:val="22"/>
              </w:rPr>
            </w:pPr>
            <w:r w:rsidRPr="00543980">
              <w:rPr>
                <w:rFonts w:ascii="Calibri" w:hAnsi="Calibri" w:cs="Calibri"/>
                <w:color w:val="000000"/>
                <w:sz w:val="22"/>
                <w:szCs w:val="22"/>
              </w:rPr>
              <w:t>R USD</w:t>
            </w:r>
          </w:p>
        </w:tc>
        <w:tc>
          <w:tcPr>
            <w:tcW w:w="2032" w:type="dxa"/>
            <w:tcBorders>
              <w:left w:val="single" w:color="auto" w:sz="4" w:space="0"/>
            </w:tcBorders>
          </w:tcPr>
          <w:p w:rsidRPr="00731976" w:rsidR="002E7C68" w:rsidP="002E7C68" w:rsidRDefault="002E7C68" w14:paraId="358FA84F" w14:textId="7159315F">
            <w:pPr>
              <w:rPr>
                <w:rFonts w:asciiTheme="minorHAnsi" w:hAnsiTheme="minorHAnsi" w:cstheme="minorHAnsi"/>
                <w:b/>
                <w:sz w:val="22"/>
                <w:szCs w:val="22"/>
              </w:rPr>
            </w:pPr>
            <w:r w:rsidRPr="000669D0">
              <w:rPr>
                <w:rFonts w:ascii="Calibri" w:hAnsi="Calibri" w:cs="Calibri"/>
                <w:color w:val="000000"/>
                <w:sz w:val="22"/>
                <w:szCs w:val="22"/>
              </w:rPr>
              <w:t>LU1730018865</w:t>
            </w:r>
          </w:p>
        </w:tc>
      </w:tr>
      <w:tr w:rsidRPr="004E4C21" w:rsidR="002E7C68" w:rsidTr="00C8754B" w14:paraId="16544DDD" w14:textId="77777777">
        <w:trPr>
          <w:trHeight w:val="485"/>
        </w:trPr>
        <w:tc>
          <w:tcPr>
            <w:tcW w:w="1998" w:type="dxa"/>
          </w:tcPr>
          <w:p w:rsidRPr="00731976" w:rsidR="002E7C68" w:rsidP="002E7C68" w:rsidRDefault="002E7C68" w14:paraId="66D65471" w14:textId="05C8085F">
            <w:pPr>
              <w:rPr>
                <w:rFonts w:asciiTheme="minorHAnsi" w:hAnsiTheme="minorHAnsi" w:cstheme="minorHAnsi"/>
                <w:sz w:val="22"/>
                <w:szCs w:val="22"/>
              </w:rPr>
            </w:pPr>
            <w:r>
              <w:rPr>
                <w:rFonts w:ascii="Calibri" w:hAnsi="Calibri" w:cs="Calibri"/>
                <w:color w:val="000000"/>
                <w:sz w:val="22"/>
                <w:szCs w:val="22"/>
              </w:rPr>
              <w:t>B USD</w:t>
            </w:r>
          </w:p>
        </w:tc>
        <w:tc>
          <w:tcPr>
            <w:tcW w:w="1809" w:type="dxa"/>
          </w:tcPr>
          <w:p w:rsidRPr="00731976" w:rsidR="002E7C68" w:rsidP="002E7C68" w:rsidRDefault="002E7C68" w14:paraId="47725847" w14:textId="65F5C58E">
            <w:pPr>
              <w:rPr>
                <w:rFonts w:asciiTheme="minorHAnsi" w:hAnsiTheme="minorHAnsi" w:cstheme="minorHAnsi"/>
                <w:b/>
                <w:sz w:val="22"/>
                <w:szCs w:val="22"/>
              </w:rPr>
            </w:pPr>
            <w:r w:rsidRPr="000669D0">
              <w:rPr>
                <w:rFonts w:ascii="Calibri" w:hAnsi="Calibri" w:cs="Calibri"/>
                <w:color w:val="000000"/>
                <w:sz w:val="22"/>
                <w:szCs w:val="22"/>
              </w:rPr>
              <w:t>LU0293692918</w:t>
            </w:r>
          </w:p>
        </w:tc>
        <w:tc>
          <w:tcPr>
            <w:tcW w:w="1809" w:type="dxa"/>
            <w:shd w:val="clear" w:color="auto" w:fill="auto"/>
          </w:tcPr>
          <w:p w:rsidRPr="00731976" w:rsidR="002E7C68" w:rsidP="002E7C68" w:rsidRDefault="00CA6CD4" w14:paraId="1D421F46" w14:textId="20A8B666">
            <w:pPr>
              <w:rPr>
                <w:rFonts w:asciiTheme="minorHAnsi" w:hAnsiTheme="minorHAnsi" w:cstheme="minorHAnsi"/>
                <w:sz w:val="22"/>
                <w:szCs w:val="22"/>
              </w:rPr>
            </w:pPr>
            <w:r>
              <w:rPr>
                <w:rFonts w:ascii="Calibri" w:hAnsi="Calibri" w:cs="Calibri"/>
                <w:color w:val="000000"/>
                <w:sz w:val="22"/>
                <w:szCs w:val="22"/>
              </w:rPr>
              <w:t>R USD</w:t>
            </w:r>
          </w:p>
        </w:tc>
        <w:tc>
          <w:tcPr>
            <w:tcW w:w="2032" w:type="dxa"/>
            <w:tcBorders>
              <w:left w:val="single" w:color="auto" w:sz="4" w:space="0"/>
            </w:tcBorders>
          </w:tcPr>
          <w:p w:rsidRPr="00731976" w:rsidR="002E7C68" w:rsidP="002E7C68" w:rsidRDefault="00CA6CD4" w14:paraId="0CB67AE1" w14:textId="036A2A6B">
            <w:pPr>
              <w:rPr>
                <w:rFonts w:asciiTheme="minorHAnsi" w:hAnsiTheme="minorHAnsi" w:cstheme="minorHAnsi"/>
                <w:b/>
                <w:sz w:val="22"/>
                <w:szCs w:val="22"/>
              </w:rPr>
            </w:pPr>
            <w:r w:rsidRPr="00CA6CD4">
              <w:rPr>
                <w:rFonts w:ascii="Calibri" w:hAnsi="Calibri" w:cs="Calibri"/>
                <w:color w:val="000000"/>
                <w:sz w:val="22"/>
                <w:szCs w:val="22"/>
              </w:rPr>
              <w:t>LU1730018865</w:t>
            </w:r>
            <w:r w:rsidRPr="00CA6CD4" w:rsidDel="004852F7">
              <w:rPr>
                <w:rFonts w:ascii="Calibri" w:hAnsi="Calibri" w:cs="Calibri"/>
                <w:color w:val="000000"/>
                <w:sz w:val="22"/>
                <w:szCs w:val="22"/>
                <w:highlight w:val="yellow"/>
              </w:rPr>
              <w:t xml:space="preserve"> </w:t>
            </w:r>
          </w:p>
        </w:tc>
      </w:tr>
      <w:tr w:rsidRPr="004E4C21" w:rsidR="002E7C68" w:rsidTr="00C8754B" w14:paraId="4FDAD50A" w14:textId="77777777">
        <w:trPr>
          <w:trHeight w:val="485"/>
        </w:trPr>
        <w:tc>
          <w:tcPr>
            <w:tcW w:w="1998" w:type="dxa"/>
          </w:tcPr>
          <w:p w:rsidRPr="00731976" w:rsidR="002E7C68" w:rsidP="002E7C68" w:rsidRDefault="002E7C68" w14:paraId="3B3BE1FD" w14:textId="1AEA09AA">
            <w:pPr>
              <w:rPr>
                <w:rFonts w:asciiTheme="minorHAnsi" w:hAnsiTheme="minorHAnsi" w:cstheme="minorHAnsi"/>
                <w:sz w:val="22"/>
                <w:szCs w:val="22"/>
              </w:rPr>
            </w:pPr>
            <w:r>
              <w:rPr>
                <w:rFonts w:ascii="Calibri" w:hAnsi="Calibri" w:cs="Calibri"/>
                <w:color w:val="000000"/>
                <w:sz w:val="22"/>
                <w:szCs w:val="22"/>
              </w:rPr>
              <w:t>C USD</w:t>
            </w:r>
          </w:p>
        </w:tc>
        <w:tc>
          <w:tcPr>
            <w:tcW w:w="1809" w:type="dxa"/>
          </w:tcPr>
          <w:p w:rsidRPr="00731976" w:rsidR="002E7C68" w:rsidP="002E7C68" w:rsidRDefault="002E7C68" w14:paraId="0359846D" w14:textId="1F817A7A">
            <w:pPr>
              <w:rPr>
                <w:rFonts w:asciiTheme="minorHAnsi" w:hAnsiTheme="minorHAnsi" w:cstheme="minorHAnsi"/>
                <w:b/>
                <w:sz w:val="22"/>
                <w:szCs w:val="22"/>
              </w:rPr>
            </w:pPr>
            <w:r w:rsidRPr="000669D0">
              <w:rPr>
                <w:rFonts w:ascii="Calibri" w:hAnsi="Calibri" w:cs="Calibri"/>
                <w:color w:val="000000"/>
                <w:sz w:val="22"/>
                <w:szCs w:val="22"/>
              </w:rPr>
              <w:t>LU0293693130</w:t>
            </w:r>
          </w:p>
        </w:tc>
        <w:tc>
          <w:tcPr>
            <w:tcW w:w="1809" w:type="dxa"/>
            <w:shd w:val="clear" w:color="auto" w:fill="auto"/>
          </w:tcPr>
          <w:p w:rsidRPr="00731976" w:rsidR="002E7C68" w:rsidP="002E7C68" w:rsidRDefault="002E7C68" w14:paraId="75E2A843" w14:textId="45446B3E">
            <w:pPr>
              <w:rPr>
                <w:rFonts w:asciiTheme="minorHAnsi" w:hAnsiTheme="minorHAnsi" w:cstheme="minorHAnsi"/>
                <w:sz w:val="22"/>
                <w:szCs w:val="22"/>
              </w:rPr>
            </w:pPr>
            <w:r>
              <w:rPr>
                <w:rFonts w:ascii="Calibri" w:hAnsi="Calibri" w:cs="Calibri"/>
                <w:color w:val="000000"/>
                <w:sz w:val="22"/>
                <w:szCs w:val="22"/>
              </w:rPr>
              <w:t>Y GBP</w:t>
            </w:r>
          </w:p>
        </w:tc>
        <w:tc>
          <w:tcPr>
            <w:tcW w:w="2032" w:type="dxa"/>
            <w:tcBorders>
              <w:left w:val="single" w:color="auto" w:sz="4" w:space="0"/>
            </w:tcBorders>
          </w:tcPr>
          <w:p w:rsidRPr="00731976" w:rsidR="002E7C68" w:rsidP="002E7C68" w:rsidRDefault="002E7C68" w14:paraId="135E194A" w14:textId="6CD309F4">
            <w:pPr>
              <w:rPr>
                <w:rFonts w:asciiTheme="minorHAnsi" w:hAnsiTheme="minorHAnsi" w:cstheme="minorHAnsi"/>
                <w:b/>
                <w:sz w:val="22"/>
                <w:szCs w:val="22"/>
              </w:rPr>
            </w:pPr>
            <w:r w:rsidRPr="000669D0">
              <w:rPr>
                <w:rFonts w:ascii="Calibri" w:hAnsi="Calibri" w:cs="Calibri"/>
                <w:color w:val="000000"/>
                <w:sz w:val="22"/>
                <w:szCs w:val="22"/>
              </w:rPr>
              <w:t>LU1070052854</w:t>
            </w:r>
          </w:p>
        </w:tc>
      </w:tr>
      <w:tr w:rsidRPr="004E4C21" w:rsidR="002E7C68" w:rsidTr="007C056D" w14:paraId="150D5CA8" w14:textId="77777777">
        <w:trPr>
          <w:trHeight w:val="485"/>
        </w:trPr>
        <w:tc>
          <w:tcPr>
            <w:tcW w:w="1998" w:type="dxa"/>
          </w:tcPr>
          <w:p w:rsidRPr="00731976" w:rsidR="002E7C68" w:rsidP="002E7C68" w:rsidRDefault="002E7C68" w14:paraId="383021C1" w14:textId="7731CD13">
            <w:pPr>
              <w:rPr>
                <w:rFonts w:asciiTheme="minorHAnsi" w:hAnsiTheme="minorHAnsi" w:cstheme="minorHAnsi"/>
                <w:sz w:val="22"/>
                <w:szCs w:val="22"/>
              </w:rPr>
            </w:pPr>
            <w:r>
              <w:rPr>
                <w:rFonts w:ascii="Calibri" w:hAnsi="Calibri" w:cs="Calibri"/>
                <w:color w:val="000000"/>
                <w:sz w:val="22"/>
                <w:szCs w:val="22"/>
              </w:rPr>
              <w:t>E USD</w:t>
            </w:r>
          </w:p>
        </w:tc>
        <w:tc>
          <w:tcPr>
            <w:tcW w:w="1809" w:type="dxa"/>
          </w:tcPr>
          <w:p w:rsidRPr="00731976" w:rsidR="002E7C68" w:rsidP="002E7C68" w:rsidRDefault="002E7C68" w14:paraId="298BBDDC" w14:textId="4C95406C">
            <w:pPr>
              <w:rPr>
                <w:rFonts w:asciiTheme="minorHAnsi" w:hAnsiTheme="minorHAnsi" w:cstheme="minorHAnsi"/>
                <w:b/>
                <w:sz w:val="22"/>
                <w:szCs w:val="22"/>
              </w:rPr>
            </w:pPr>
            <w:r w:rsidRPr="000669D0">
              <w:rPr>
                <w:rFonts w:ascii="Calibri" w:hAnsi="Calibri" w:cs="Calibri"/>
                <w:color w:val="000000"/>
                <w:sz w:val="22"/>
                <w:szCs w:val="22"/>
              </w:rPr>
              <w:t>LU0443655294</w:t>
            </w:r>
          </w:p>
        </w:tc>
        <w:tc>
          <w:tcPr>
            <w:tcW w:w="1809" w:type="dxa"/>
            <w:shd w:val="clear" w:color="auto" w:fill="auto"/>
          </w:tcPr>
          <w:p w:rsidRPr="00731976" w:rsidR="002E7C68" w:rsidP="002E7C68" w:rsidRDefault="002E7C68" w14:paraId="70FF651B" w14:textId="14D54614">
            <w:pPr>
              <w:rPr>
                <w:rFonts w:asciiTheme="minorHAnsi" w:hAnsiTheme="minorHAnsi" w:cstheme="minorHAnsi"/>
                <w:sz w:val="22"/>
                <w:szCs w:val="22"/>
              </w:rPr>
            </w:pPr>
            <w:r>
              <w:rPr>
                <w:rFonts w:ascii="Calibri" w:hAnsi="Calibri" w:cs="Calibri"/>
                <w:color w:val="000000"/>
                <w:sz w:val="22"/>
                <w:szCs w:val="22"/>
              </w:rPr>
              <w:t>Y USD</w:t>
            </w:r>
          </w:p>
        </w:tc>
        <w:tc>
          <w:tcPr>
            <w:tcW w:w="2032" w:type="dxa"/>
            <w:tcBorders>
              <w:left w:val="single" w:color="auto" w:sz="4" w:space="0"/>
            </w:tcBorders>
          </w:tcPr>
          <w:p w:rsidRPr="00731976" w:rsidR="002E7C68" w:rsidP="002E7C68" w:rsidRDefault="002E7C68" w14:paraId="10D6A1E4" w14:textId="54EE34BF">
            <w:pPr>
              <w:rPr>
                <w:rFonts w:asciiTheme="minorHAnsi" w:hAnsiTheme="minorHAnsi" w:cstheme="minorHAnsi"/>
                <w:b/>
                <w:sz w:val="22"/>
                <w:szCs w:val="22"/>
              </w:rPr>
            </w:pPr>
            <w:r w:rsidRPr="000669D0">
              <w:rPr>
                <w:rFonts w:ascii="Calibri" w:hAnsi="Calibri" w:cs="Calibri"/>
                <w:color w:val="000000"/>
                <w:sz w:val="22"/>
                <w:szCs w:val="22"/>
              </w:rPr>
              <w:t>LU1070052771</w:t>
            </w:r>
          </w:p>
        </w:tc>
      </w:tr>
    </w:tbl>
    <w:p w:rsidRPr="00731976" w:rsidR="001D4338" w:rsidP="001D4338" w:rsidRDefault="001D4338" w14:paraId="28C24170" w14:textId="77777777">
      <w:pPr>
        <w:rPr>
          <w:rFonts w:asciiTheme="minorHAnsi" w:hAnsiTheme="minorHAnsi" w:cstheme="minorHAnsi"/>
          <w:i/>
          <w:sz w:val="22"/>
          <w:szCs w:val="22"/>
        </w:rPr>
      </w:pPr>
    </w:p>
    <w:p w:rsidRPr="00E03629" w:rsidR="00E03629" w:rsidP="00731976" w:rsidRDefault="00E03629" w14:paraId="2EBECAC2" w14:textId="673EE967">
      <w:pPr>
        <w:rPr>
          <w:rFonts w:asciiTheme="minorHAnsi" w:hAnsiTheme="minorHAnsi" w:cstheme="minorHAnsi"/>
          <w:iCs/>
          <w:sz w:val="22"/>
          <w:szCs w:val="22"/>
        </w:rPr>
      </w:pPr>
      <w:r w:rsidRPr="00E03629">
        <w:rPr>
          <w:rFonts w:asciiTheme="minorHAnsi" w:hAnsiTheme="minorHAnsi" w:cstheme="minorHAnsi"/>
          <w:iCs/>
          <w:sz w:val="22"/>
          <w:szCs w:val="22"/>
        </w:rPr>
        <w:t xml:space="preserve">In respect of </w:t>
      </w:r>
      <w:r>
        <w:rPr>
          <w:rFonts w:asciiTheme="minorHAnsi" w:hAnsiTheme="minorHAnsi" w:cstheme="minorHAnsi"/>
          <w:iCs/>
          <w:sz w:val="22"/>
          <w:szCs w:val="22"/>
        </w:rPr>
        <w:t>the</w:t>
      </w:r>
      <w:r w:rsidRPr="00E03629">
        <w:rPr>
          <w:rFonts w:asciiTheme="minorHAnsi" w:hAnsiTheme="minorHAnsi" w:cstheme="minorHAnsi"/>
          <w:iCs/>
          <w:sz w:val="22"/>
          <w:szCs w:val="22"/>
        </w:rPr>
        <w:t xml:space="preserve"> Merger, the price of each New Share to be issued shall be equal to the closing price of a Share of the relevant class within the relevant Merging Sub-Fund </w:t>
      </w:r>
      <w:proofErr w:type="gramStart"/>
      <w:r w:rsidRPr="00E03629">
        <w:rPr>
          <w:rFonts w:asciiTheme="minorHAnsi" w:hAnsiTheme="minorHAnsi" w:cstheme="minorHAnsi"/>
          <w:iCs/>
          <w:sz w:val="22"/>
          <w:szCs w:val="22"/>
        </w:rPr>
        <w:t>on the basis of</w:t>
      </w:r>
      <w:proofErr w:type="gramEnd"/>
      <w:r w:rsidRPr="00E03629">
        <w:rPr>
          <w:rFonts w:asciiTheme="minorHAnsi" w:hAnsiTheme="minorHAnsi" w:cstheme="minorHAnsi"/>
          <w:iCs/>
          <w:sz w:val="22"/>
          <w:szCs w:val="22"/>
        </w:rPr>
        <w:t xml:space="preserve"> the Merging Sub-Fund’s value.</w:t>
      </w:r>
    </w:p>
    <w:p w:rsidRPr="00E03629" w:rsidR="00E03629" w:rsidP="00E03629" w:rsidRDefault="00E03629" w14:paraId="687534C3" w14:textId="77777777">
      <w:pPr>
        <w:rPr>
          <w:rFonts w:asciiTheme="minorHAnsi" w:hAnsiTheme="minorHAnsi" w:cstheme="minorHAnsi"/>
          <w:iCs/>
          <w:sz w:val="22"/>
          <w:szCs w:val="22"/>
        </w:rPr>
      </w:pPr>
    </w:p>
    <w:p w:rsidRPr="00E03629" w:rsidR="00E03629" w:rsidP="00E03629" w:rsidRDefault="00E03629" w14:paraId="73761732" w14:textId="4343BFC6">
      <w:pPr>
        <w:rPr>
          <w:rFonts w:asciiTheme="minorHAnsi" w:hAnsiTheme="minorHAnsi" w:cstheme="minorHAnsi"/>
          <w:iCs/>
          <w:sz w:val="22"/>
          <w:szCs w:val="22"/>
        </w:rPr>
      </w:pPr>
      <w:r w:rsidRPr="00E03629">
        <w:rPr>
          <w:rFonts w:asciiTheme="minorHAnsi" w:hAnsiTheme="minorHAnsi" w:cstheme="minorHAnsi"/>
          <w:iCs/>
          <w:sz w:val="22"/>
          <w:szCs w:val="22"/>
        </w:rPr>
        <w:t>New Shares will be issued to each Shareholder invested in the Merging Sub-Fund according to the following formula: N = (S x P) / R</w:t>
      </w:r>
    </w:p>
    <w:p w:rsidRPr="00E03629" w:rsidR="00E03629" w:rsidP="00E03629" w:rsidRDefault="00E03629" w14:paraId="1464CAC2" w14:textId="77777777">
      <w:pPr>
        <w:rPr>
          <w:rFonts w:asciiTheme="minorHAnsi" w:hAnsiTheme="minorHAnsi" w:cstheme="minorHAnsi"/>
          <w:iCs/>
          <w:sz w:val="22"/>
          <w:szCs w:val="22"/>
        </w:rPr>
      </w:pPr>
    </w:p>
    <w:p w:rsidRPr="00E03629" w:rsidR="00E03629" w:rsidP="00E03629" w:rsidRDefault="00E03629" w14:paraId="79C33609" w14:textId="77777777">
      <w:pPr>
        <w:rPr>
          <w:rFonts w:asciiTheme="minorHAnsi" w:hAnsiTheme="minorHAnsi" w:cstheme="minorHAnsi"/>
          <w:iCs/>
          <w:sz w:val="22"/>
          <w:szCs w:val="22"/>
        </w:rPr>
      </w:pPr>
      <w:r w:rsidRPr="00E03629">
        <w:rPr>
          <w:rFonts w:asciiTheme="minorHAnsi" w:hAnsiTheme="minorHAnsi" w:cstheme="minorHAnsi"/>
          <w:iCs/>
          <w:sz w:val="22"/>
          <w:szCs w:val="22"/>
        </w:rPr>
        <w:lastRenderedPageBreak/>
        <w:t>Where:</w:t>
      </w:r>
    </w:p>
    <w:p w:rsidRPr="00E03629" w:rsidR="00E03629" w:rsidP="00E03629" w:rsidRDefault="00E03629" w14:paraId="50FCF500" w14:textId="77777777">
      <w:pPr>
        <w:rPr>
          <w:rFonts w:asciiTheme="minorHAnsi" w:hAnsiTheme="minorHAnsi" w:cstheme="minorHAnsi"/>
          <w:iCs/>
          <w:sz w:val="22"/>
          <w:szCs w:val="22"/>
        </w:rPr>
      </w:pPr>
      <w:r w:rsidRPr="00E03629">
        <w:rPr>
          <w:rFonts w:asciiTheme="minorHAnsi" w:hAnsiTheme="minorHAnsi" w:cstheme="minorHAnsi"/>
          <w:iCs/>
          <w:sz w:val="22"/>
          <w:szCs w:val="22"/>
        </w:rPr>
        <w:t>N = Number of New Shares to be issued to such Shareholder</w:t>
      </w:r>
    </w:p>
    <w:p w:rsidRPr="00E03629" w:rsidR="00E03629" w:rsidP="00E03629" w:rsidRDefault="00E03629" w14:paraId="134FD30D" w14:textId="77777777">
      <w:pPr>
        <w:rPr>
          <w:rFonts w:asciiTheme="minorHAnsi" w:hAnsiTheme="minorHAnsi" w:cstheme="minorHAnsi"/>
          <w:iCs/>
          <w:sz w:val="22"/>
          <w:szCs w:val="22"/>
        </w:rPr>
      </w:pPr>
      <w:r w:rsidRPr="00E03629">
        <w:rPr>
          <w:rFonts w:asciiTheme="minorHAnsi" w:hAnsiTheme="minorHAnsi" w:cstheme="minorHAnsi"/>
          <w:iCs/>
          <w:sz w:val="22"/>
          <w:szCs w:val="22"/>
        </w:rPr>
        <w:t>S = Number of Shares of the corresponding class owned by such Shareholder immediately prior to the Effective Date</w:t>
      </w:r>
    </w:p>
    <w:p w:rsidRPr="00E03629" w:rsidR="00E03629" w:rsidP="00E03629" w:rsidRDefault="00E03629" w14:paraId="78604939" w14:textId="77777777">
      <w:pPr>
        <w:rPr>
          <w:rFonts w:asciiTheme="minorHAnsi" w:hAnsiTheme="minorHAnsi" w:cstheme="minorHAnsi"/>
          <w:iCs/>
          <w:sz w:val="22"/>
          <w:szCs w:val="22"/>
        </w:rPr>
      </w:pPr>
      <w:r w:rsidRPr="00E03629">
        <w:rPr>
          <w:rFonts w:asciiTheme="minorHAnsi" w:hAnsiTheme="minorHAnsi" w:cstheme="minorHAnsi"/>
          <w:iCs/>
          <w:sz w:val="22"/>
          <w:szCs w:val="22"/>
        </w:rPr>
        <w:t>P = Price per Share of the corresponding class owned by such Shareholder for purposes of the Merger</w:t>
      </w:r>
    </w:p>
    <w:p w:rsidRPr="00E03629" w:rsidR="00E03629" w:rsidP="00E03629" w:rsidRDefault="00E03629" w14:paraId="20E6160E" w14:textId="03BC47B3">
      <w:pPr>
        <w:rPr>
          <w:rFonts w:asciiTheme="minorHAnsi" w:hAnsiTheme="minorHAnsi" w:cstheme="minorHAnsi"/>
          <w:iCs/>
          <w:sz w:val="22"/>
          <w:szCs w:val="22"/>
        </w:rPr>
      </w:pPr>
      <w:r w:rsidRPr="00E03629">
        <w:rPr>
          <w:rFonts w:asciiTheme="minorHAnsi" w:hAnsiTheme="minorHAnsi" w:cstheme="minorHAnsi"/>
          <w:iCs/>
          <w:sz w:val="22"/>
          <w:szCs w:val="22"/>
        </w:rPr>
        <w:t>R = Price per New Share of the relevant class of the Receiving Sub-Fund</w:t>
      </w:r>
      <w:r w:rsidRPr="000D6053" w:rsidR="000D6053">
        <w:t xml:space="preserve"> </w:t>
      </w:r>
      <w:r w:rsidRPr="000D6053" w:rsidR="000D6053">
        <w:rPr>
          <w:rFonts w:asciiTheme="minorHAnsi" w:hAnsiTheme="minorHAnsi" w:cstheme="minorHAnsi"/>
          <w:iCs/>
          <w:sz w:val="22"/>
          <w:szCs w:val="22"/>
        </w:rPr>
        <w:t>calculated as of the Effective Date</w:t>
      </w:r>
      <w:r w:rsidR="000D6053">
        <w:rPr>
          <w:rFonts w:asciiTheme="minorHAnsi" w:hAnsiTheme="minorHAnsi" w:cstheme="minorHAnsi"/>
          <w:iCs/>
          <w:sz w:val="22"/>
          <w:szCs w:val="22"/>
        </w:rPr>
        <w:t>.</w:t>
      </w:r>
    </w:p>
    <w:p w:rsidRPr="00E03629" w:rsidR="00E03629" w:rsidP="00E03629" w:rsidRDefault="00E03629" w14:paraId="35E8E4CA" w14:textId="77777777">
      <w:pPr>
        <w:rPr>
          <w:rFonts w:asciiTheme="minorHAnsi" w:hAnsiTheme="minorHAnsi" w:cstheme="minorHAnsi"/>
          <w:iCs/>
          <w:sz w:val="22"/>
          <w:szCs w:val="22"/>
        </w:rPr>
      </w:pPr>
    </w:p>
    <w:p w:rsidRPr="00E03629" w:rsidR="00E03629" w:rsidP="00E03629" w:rsidRDefault="00E03629" w14:paraId="78FF5761" w14:textId="21741B24">
      <w:pPr>
        <w:rPr>
          <w:rFonts w:asciiTheme="minorHAnsi" w:hAnsiTheme="minorHAnsi" w:cstheme="minorHAnsi"/>
          <w:iCs/>
          <w:sz w:val="22"/>
          <w:szCs w:val="22"/>
        </w:rPr>
      </w:pPr>
      <w:r w:rsidRPr="00E03629">
        <w:rPr>
          <w:rFonts w:asciiTheme="minorHAnsi" w:hAnsiTheme="minorHAnsi" w:cstheme="minorHAnsi"/>
          <w:iCs/>
          <w:sz w:val="22"/>
          <w:szCs w:val="22"/>
        </w:rPr>
        <w:t>The number of New Shares to be issued to each Shareholder will (if necessary) be rounded up to the nearest fraction (three decimal places)</w:t>
      </w:r>
      <w:r w:rsidR="006662BC">
        <w:rPr>
          <w:rFonts w:asciiTheme="minorHAnsi" w:hAnsiTheme="minorHAnsi" w:cstheme="minorHAnsi"/>
          <w:iCs/>
          <w:sz w:val="22"/>
          <w:szCs w:val="22"/>
        </w:rPr>
        <w:t>.</w:t>
      </w:r>
    </w:p>
    <w:p w:rsidRPr="00E03629" w:rsidR="00E03629" w:rsidP="00E03629" w:rsidRDefault="00E03629" w14:paraId="76C81168" w14:textId="77777777">
      <w:pPr>
        <w:rPr>
          <w:rFonts w:asciiTheme="minorHAnsi" w:hAnsiTheme="minorHAnsi" w:cstheme="minorHAnsi"/>
          <w:iCs/>
          <w:sz w:val="22"/>
          <w:szCs w:val="22"/>
        </w:rPr>
      </w:pPr>
    </w:p>
    <w:p w:rsidRPr="00E03629" w:rsidR="00E03629" w:rsidP="00E03629" w:rsidRDefault="00E03629" w14:paraId="7450B5A5" w14:textId="4F6D95B1">
      <w:pPr>
        <w:rPr>
          <w:rFonts w:asciiTheme="minorHAnsi" w:hAnsiTheme="minorHAnsi" w:cstheme="minorHAnsi"/>
          <w:iCs/>
          <w:sz w:val="22"/>
          <w:szCs w:val="22"/>
        </w:rPr>
      </w:pPr>
      <w:r>
        <w:rPr>
          <w:rFonts w:asciiTheme="minorHAnsi" w:hAnsiTheme="minorHAnsi" w:cstheme="minorHAnsi"/>
          <w:iCs/>
          <w:sz w:val="22"/>
          <w:szCs w:val="22"/>
        </w:rPr>
        <w:t>T</w:t>
      </w:r>
      <w:r w:rsidRPr="00E03629">
        <w:rPr>
          <w:rFonts w:asciiTheme="minorHAnsi" w:hAnsiTheme="minorHAnsi" w:cstheme="minorHAnsi"/>
          <w:iCs/>
          <w:sz w:val="22"/>
          <w:szCs w:val="22"/>
        </w:rPr>
        <w:t xml:space="preserve">he total value of </w:t>
      </w:r>
      <w:r>
        <w:rPr>
          <w:rFonts w:asciiTheme="minorHAnsi" w:hAnsiTheme="minorHAnsi" w:cstheme="minorHAnsi"/>
          <w:iCs/>
          <w:sz w:val="22"/>
          <w:szCs w:val="22"/>
        </w:rPr>
        <w:t>S</w:t>
      </w:r>
      <w:r w:rsidRPr="00E03629">
        <w:rPr>
          <w:rFonts w:asciiTheme="minorHAnsi" w:hAnsiTheme="minorHAnsi" w:cstheme="minorHAnsi"/>
          <w:iCs/>
          <w:sz w:val="22"/>
          <w:szCs w:val="22"/>
        </w:rPr>
        <w:t>hares issued will correspond to the total value of the Shares held in the Merging Sub-Fund.</w:t>
      </w:r>
    </w:p>
    <w:p w:rsidR="00E03629" w:rsidRDefault="00E03629" w14:paraId="0DAEEFBA" w14:textId="3A1476E0">
      <w:pPr>
        <w:rPr>
          <w:rFonts w:asciiTheme="minorHAnsi" w:hAnsiTheme="minorHAnsi" w:cstheme="minorHAnsi"/>
          <w:sz w:val="22"/>
          <w:szCs w:val="22"/>
        </w:rPr>
      </w:pPr>
    </w:p>
    <w:p w:rsidR="00E03629" w:rsidRDefault="00E03629" w14:paraId="3E214578" w14:textId="37D97195">
      <w:pPr>
        <w:rPr>
          <w:rFonts w:asciiTheme="minorHAnsi" w:hAnsiTheme="minorHAnsi" w:cstheme="minorHAnsi"/>
          <w:sz w:val="22"/>
          <w:szCs w:val="22"/>
        </w:rPr>
      </w:pPr>
      <w:r>
        <w:rPr>
          <w:rFonts w:asciiTheme="minorHAnsi" w:hAnsiTheme="minorHAnsi" w:cstheme="minorHAnsi"/>
          <w:sz w:val="22"/>
          <w:szCs w:val="22"/>
        </w:rPr>
        <w:t>Rebalancing</w:t>
      </w:r>
    </w:p>
    <w:p w:rsidR="00E03629" w:rsidRDefault="00E03629" w14:paraId="2BE722B1" w14:textId="5D2AB7AA">
      <w:pPr>
        <w:rPr>
          <w:rFonts w:asciiTheme="minorHAnsi" w:hAnsiTheme="minorHAnsi" w:cstheme="minorHAnsi"/>
          <w:sz w:val="22"/>
          <w:szCs w:val="22"/>
        </w:rPr>
      </w:pPr>
    </w:p>
    <w:p w:rsidRPr="00731976" w:rsidR="00E03629" w:rsidDel="001D4338" w:rsidRDefault="00E03629" w14:paraId="4AD4ED04" w14:textId="7EFE97A0">
      <w:pPr>
        <w:rPr>
          <w:rFonts w:asciiTheme="minorHAnsi" w:hAnsiTheme="minorHAnsi" w:cstheme="minorHAnsi"/>
          <w:sz w:val="22"/>
          <w:szCs w:val="22"/>
          <w:lang w:val="en-US"/>
        </w:rPr>
      </w:pPr>
      <w:r w:rsidRPr="00E03629">
        <w:rPr>
          <w:rFonts w:asciiTheme="minorHAnsi" w:hAnsiTheme="minorHAnsi" w:cstheme="minorHAnsi"/>
          <w:sz w:val="22"/>
          <w:szCs w:val="22"/>
          <w:lang w:val="en-US"/>
        </w:rPr>
        <w:t xml:space="preserve">As part of the Merger, the investment portfolio of the Merging Sub-Fund will be liquidated, starting ten business days prior to the Effective Date, and held in cash that will then be transferred to the Receiving Sub-Fund on the Effective Date. The Receiving Sub-Fund will allocate such cash according to its investment policy and asset allocation as of and within five business days of the Effective Date. The </w:t>
      </w:r>
      <w:r w:rsidR="00BB4D75">
        <w:rPr>
          <w:rFonts w:asciiTheme="minorHAnsi" w:hAnsiTheme="minorHAnsi" w:cstheme="minorHAnsi"/>
          <w:sz w:val="22"/>
          <w:szCs w:val="22"/>
          <w:lang w:val="en-US"/>
        </w:rPr>
        <w:t>transactions in the</w:t>
      </w:r>
      <w:r w:rsidR="00434A63">
        <w:rPr>
          <w:rFonts w:asciiTheme="minorHAnsi" w:hAnsiTheme="minorHAnsi" w:cstheme="minorHAnsi"/>
          <w:sz w:val="22"/>
          <w:szCs w:val="22"/>
          <w:lang w:val="en-US"/>
        </w:rPr>
        <w:t xml:space="preserve"> portfolio of the</w:t>
      </w:r>
      <w:r w:rsidRPr="00E03629">
        <w:rPr>
          <w:rFonts w:asciiTheme="minorHAnsi" w:hAnsiTheme="minorHAnsi" w:cstheme="minorHAnsi"/>
          <w:sz w:val="22"/>
          <w:szCs w:val="22"/>
          <w:lang w:val="en-US"/>
        </w:rPr>
        <w:t xml:space="preserve"> Merging Sub-Fund will generate costs which will be borne by </w:t>
      </w:r>
      <w:r w:rsidR="00810360">
        <w:rPr>
          <w:rFonts w:asciiTheme="minorHAnsi" w:hAnsiTheme="minorHAnsi" w:cstheme="minorHAnsi"/>
          <w:sz w:val="22"/>
          <w:szCs w:val="22"/>
          <w:lang w:val="en-US"/>
        </w:rPr>
        <w:t xml:space="preserve">the </w:t>
      </w:r>
      <w:r w:rsidR="006662BC">
        <w:rPr>
          <w:rFonts w:asciiTheme="minorHAnsi" w:hAnsiTheme="minorHAnsi" w:cstheme="minorHAnsi"/>
          <w:sz w:val="22"/>
          <w:szCs w:val="22"/>
          <w:lang w:val="en-US"/>
        </w:rPr>
        <w:t>S</w:t>
      </w:r>
      <w:r w:rsidR="00810360">
        <w:rPr>
          <w:rFonts w:asciiTheme="minorHAnsi" w:hAnsiTheme="minorHAnsi" w:cstheme="minorHAnsi"/>
          <w:sz w:val="22"/>
          <w:szCs w:val="22"/>
          <w:lang w:val="en-US"/>
        </w:rPr>
        <w:t>hareholders</w:t>
      </w:r>
      <w:r w:rsidR="00740A11">
        <w:rPr>
          <w:rFonts w:asciiTheme="minorHAnsi" w:hAnsiTheme="minorHAnsi" w:cstheme="minorHAnsi"/>
          <w:sz w:val="22"/>
          <w:szCs w:val="22"/>
          <w:lang w:val="en-US"/>
        </w:rPr>
        <w:t xml:space="preserve"> of the Merging Sub-Fund</w:t>
      </w:r>
      <w:r w:rsidRPr="00E03629">
        <w:rPr>
          <w:rFonts w:asciiTheme="minorHAnsi" w:hAnsiTheme="minorHAnsi" w:cstheme="minorHAnsi"/>
          <w:sz w:val="22"/>
          <w:szCs w:val="22"/>
          <w:lang w:val="en-US"/>
        </w:rPr>
        <w:t>.</w:t>
      </w:r>
    </w:p>
    <w:p w:rsidRPr="00810360" w:rsidR="00740A11" w:rsidP="00F700A9" w:rsidRDefault="00740A11" w14:paraId="1AA591D0" w14:textId="351786B1">
      <w:pPr>
        <w:tabs>
          <w:tab w:val="left" w:pos="851"/>
          <w:tab w:val="left" w:pos="1701"/>
          <w:tab w:val="left" w:pos="2835"/>
          <w:tab w:val="left" w:pos="4253"/>
        </w:tabs>
        <w:rPr>
          <w:rFonts w:asciiTheme="minorHAnsi" w:hAnsiTheme="minorHAnsi" w:cstheme="minorHAnsi"/>
          <w:b/>
          <w:bCs/>
          <w:iCs/>
          <w:color w:val="000000"/>
          <w:sz w:val="22"/>
          <w:szCs w:val="22"/>
          <w:lang w:val="en-US"/>
        </w:rPr>
      </w:pPr>
    </w:p>
    <w:p w:rsidR="008F3912" w:rsidP="008F3912" w:rsidRDefault="008F3912" w14:paraId="14757D8D" w14:textId="77777777">
      <w:pPr>
        <w:pStyle w:val="Body1"/>
        <w:widowControl/>
        <w:spacing w:line="240" w:lineRule="auto"/>
        <w:rPr>
          <w:rFonts w:asciiTheme="minorHAnsi" w:hAnsiTheme="minorHAnsi" w:cstheme="minorHAnsi"/>
          <w:b/>
          <w:szCs w:val="22"/>
        </w:rPr>
      </w:pPr>
      <w:r>
        <w:rPr>
          <w:rFonts w:asciiTheme="minorHAnsi" w:hAnsiTheme="minorHAnsi" w:cstheme="minorHAnsi"/>
          <w:b/>
          <w:szCs w:val="22"/>
        </w:rPr>
        <w:t xml:space="preserve">Performance fee </w:t>
      </w:r>
    </w:p>
    <w:p w:rsidR="008F3912" w:rsidP="008F3912" w:rsidRDefault="008F3912" w14:paraId="7A5E3DD8" w14:textId="77777777">
      <w:pPr>
        <w:pStyle w:val="Body1"/>
        <w:widowControl/>
        <w:spacing w:line="240" w:lineRule="auto"/>
        <w:rPr>
          <w:rFonts w:asciiTheme="minorHAnsi" w:hAnsiTheme="minorHAnsi" w:cstheme="minorHAnsi"/>
          <w:b/>
          <w:szCs w:val="22"/>
        </w:rPr>
      </w:pPr>
    </w:p>
    <w:p w:rsidRPr="00A653D7" w:rsidR="00021A40" w:rsidP="00A653D7" w:rsidRDefault="008F3912" w14:paraId="0AD22A42" w14:textId="1354D3F0">
      <w:pPr>
        <w:pStyle w:val="Body1"/>
        <w:widowControl/>
        <w:spacing w:line="240" w:lineRule="auto"/>
        <w:rPr>
          <w:rFonts w:asciiTheme="minorHAnsi" w:hAnsiTheme="minorHAnsi" w:cstheme="minorHAnsi"/>
          <w:bCs/>
          <w:szCs w:val="22"/>
        </w:rPr>
      </w:pPr>
      <w:r w:rsidRPr="001221BA">
        <w:rPr>
          <w:rFonts w:asciiTheme="minorHAnsi" w:hAnsiTheme="minorHAnsi" w:cstheme="minorHAnsi"/>
          <w:bCs/>
          <w:szCs w:val="22"/>
        </w:rPr>
        <w:t>For the Merging Sub-Fund, the performance fee will be accrued until the Effective Date. On the Effective Date, the performance fee of the Merging Sub-Fund (if any) will be “crystallised” and will be paid.</w:t>
      </w:r>
    </w:p>
    <w:p w:rsidRPr="00731976" w:rsidR="008F3912" w:rsidP="00F700A9" w:rsidRDefault="008F3912" w14:paraId="56BC64D7" w14:textId="77777777">
      <w:pPr>
        <w:tabs>
          <w:tab w:val="left" w:pos="851"/>
          <w:tab w:val="left" w:pos="1701"/>
          <w:tab w:val="left" w:pos="2835"/>
          <w:tab w:val="left" w:pos="4253"/>
        </w:tabs>
        <w:rPr>
          <w:rFonts w:asciiTheme="minorHAnsi" w:hAnsiTheme="minorHAnsi" w:cstheme="minorHAnsi"/>
          <w:iCs/>
          <w:color w:val="000000"/>
          <w:sz w:val="22"/>
          <w:szCs w:val="22"/>
          <w:lang w:val="en-US"/>
        </w:rPr>
      </w:pPr>
    </w:p>
    <w:p w:rsidRPr="00731976" w:rsidR="00F700A9" w:rsidP="00F700A9" w:rsidRDefault="00F700A9" w14:paraId="1C4A9637" w14:textId="224265A0">
      <w:pPr>
        <w:pStyle w:val="Body1"/>
        <w:widowControl/>
        <w:spacing w:line="240" w:lineRule="auto"/>
        <w:rPr>
          <w:rFonts w:asciiTheme="minorHAnsi" w:hAnsiTheme="minorHAnsi" w:cstheme="minorHAnsi"/>
          <w:b/>
          <w:szCs w:val="22"/>
        </w:rPr>
      </w:pPr>
      <w:r w:rsidRPr="00731976">
        <w:rPr>
          <w:rFonts w:asciiTheme="minorHAnsi" w:hAnsiTheme="minorHAnsi" w:cstheme="minorHAnsi"/>
          <w:b/>
          <w:szCs w:val="22"/>
        </w:rPr>
        <w:t>Post- Merger Events</w:t>
      </w:r>
    </w:p>
    <w:p w:rsidRPr="00731976" w:rsidR="00F700A9" w:rsidP="00F700A9" w:rsidRDefault="00F700A9" w14:paraId="7471900C" w14:textId="68418231">
      <w:pPr>
        <w:pStyle w:val="Body1"/>
        <w:widowControl/>
        <w:spacing w:line="240" w:lineRule="auto"/>
        <w:rPr>
          <w:rFonts w:asciiTheme="minorHAnsi" w:hAnsiTheme="minorHAnsi" w:cstheme="minorHAnsi"/>
          <w:b/>
          <w:szCs w:val="22"/>
        </w:rPr>
      </w:pPr>
    </w:p>
    <w:p w:rsidRPr="00731976" w:rsidR="00F700A9" w:rsidP="00F700A9" w:rsidRDefault="00F700A9" w14:paraId="43B014EB" w14:textId="22F37107">
      <w:pPr>
        <w:pStyle w:val="Body1"/>
        <w:widowControl/>
        <w:spacing w:line="240" w:lineRule="auto"/>
        <w:rPr>
          <w:rFonts w:asciiTheme="minorHAnsi" w:hAnsiTheme="minorHAnsi" w:cstheme="minorHAnsi"/>
          <w:b/>
          <w:szCs w:val="22"/>
        </w:rPr>
      </w:pPr>
      <w:r w:rsidRPr="00731976">
        <w:rPr>
          <w:rFonts w:asciiTheme="minorHAnsi" w:hAnsiTheme="minorHAnsi" w:cstheme="minorHAnsi"/>
          <w:color w:val="000000"/>
          <w:szCs w:val="22"/>
        </w:rPr>
        <w:t xml:space="preserve">Following the Effective Date, any windfall </w:t>
      </w:r>
      <w:proofErr w:type="gramStart"/>
      <w:r w:rsidRPr="00731976">
        <w:rPr>
          <w:rFonts w:asciiTheme="minorHAnsi" w:hAnsiTheme="minorHAnsi" w:cstheme="minorHAnsi"/>
          <w:color w:val="000000"/>
          <w:szCs w:val="22"/>
        </w:rPr>
        <w:t>receipts</w:t>
      </w:r>
      <w:proofErr w:type="gramEnd"/>
      <w:r w:rsidRPr="00731976">
        <w:rPr>
          <w:rFonts w:asciiTheme="minorHAnsi" w:hAnsiTheme="minorHAnsi" w:cstheme="minorHAnsi"/>
          <w:color w:val="000000"/>
          <w:szCs w:val="22"/>
        </w:rPr>
        <w:t xml:space="preserve"> or any surplus assets (including any settlement or award) accrued by the Merging </w:t>
      </w:r>
      <w:r w:rsidRPr="00731976" w:rsidR="001C40CB">
        <w:rPr>
          <w:rFonts w:asciiTheme="minorHAnsi" w:hAnsiTheme="minorHAnsi" w:cstheme="minorHAnsi"/>
          <w:color w:val="000000"/>
          <w:szCs w:val="22"/>
        </w:rPr>
        <w:t>Sub-</w:t>
      </w:r>
      <w:r w:rsidRPr="00731976">
        <w:rPr>
          <w:rFonts w:asciiTheme="minorHAnsi" w:hAnsiTheme="minorHAnsi" w:cstheme="minorHAnsi"/>
          <w:color w:val="000000"/>
          <w:szCs w:val="22"/>
        </w:rPr>
        <w:t xml:space="preserve">Fund but not received prior to the Effective Date, will be transferred to the Receiving </w:t>
      </w:r>
      <w:r w:rsidRPr="00731976" w:rsidR="001C40CB">
        <w:rPr>
          <w:rFonts w:asciiTheme="minorHAnsi" w:hAnsiTheme="minorHAnsi" w:cstheme="minorHAnsi"/>
          <w:color w:val="000000"/>
          <w:szCs w:val="22"/>
        </w:rPr>
        <w:t>Sub-</w:t>
      </w:r>
      <w:r w:rsidRPr="00731976">
        <w:rPr>
          <w:rFonts w:asciiTheme="minorHAnsi" w:hAnsiTheme="minorHAnsi" w:cstheme="minorHAnsi"/>
          <w:color w:val="000000"/>
          <w:szCs w:val="22"/>
        </w:rPr>
        <w:t xml:space="preserve">Fund. Any unexpected expenses incurred by the Merging </w:t>
      </w:r>
      <w:r w:rsidRPr="00731976" w:rsidR="001C40CB">
        <w:rPr>
          <w:rFonts w:asciiTheme="minorHAnsi" w:hAnsiTheme="minorHAnsi" w:cstheme="minorHAnsi"/>
          <w:color w:val="000000"/>
          <w:szCs w:val="22"/>
        </w:rPr>
        <w:t>Sub-</w:t>
      </w:r>
      <w:r w:rsidRPr="00731976">
        <w:rPr>
          <w:rFonts w:asciiTheme="minorHAnsi" w:hAnsiTheme="minorHAnsi" w:cstheme="minorHAnsi"/>
          <w:color w:val="000000"/>
          <w:szCs w:val="22"/>
        </w:rPr>
        <w:t xml:space="preserve">Fund will be settled by the Receiving </w:t>
      </w:r>
      <w:r w:rsidRPr="00731976" w:rsidR="001C40CB">
        <w:rPr>
          <w:rFonts w:asciiTheme="minorHAnsi" w:hAnsiTheme="minorHAnsi" w:cstheme="minorHAnsi"/>
          <w:color w:val="000000"/>
          <w:szCs w:val="22"/>
        </w:rPr>
        <w:t>Sub-</w:t>
      </w:r>
      <w:r w:rsidRPr="00731976">
        <w:rPr>
          <w:rFonts w:asciiTheme="minorHAnsi" w:hAnsiTheme="minorHAnsi" w:cstheme="minorHAnsi"/>
          <w:color w:val="000000"/>
          <w:szCs w:val="22"/>
        </w:rPr>
        <w:t>Fund.</w:t>
      </w:r>
      <w:r w:rsidRPr="00810360" w:rsidR="0043129F">
        <w:rPr>
          <w:rFonts w:asciiTheme="minorHAnsi" w:hAnsiTheme="minorHAnsi" w:cstheme="minorHAnsi"/>
          <w:b/>
          <w:bCs/>
          <w:szCs w:val="22"/>
        </w:rPr>
        <w:t xml:space="preserve"> </w:t>
      </w:r>
    </w:p>
    <w:p w:rsidRPr="00731976" w:rsidR="00FA287B" w:rsidP="00F700A9" w:rsidRDefault="00FA287B" w14:paraId="317F3B2F" w14:textId="77777777">
      <w:pPr>
        <w:pStyle w:val="Body1"/>
        <w:widowControl/>
        <w:spacing w:line="240" w:lineRule="auto"/>
        <w:jc w:val="left"/>
        <w:rPr>
          <w:rFonts w:asciiTheme="minorHAnsi" w:hAnsiTheme="minorHAnsi" w:cstheme="minorHAnsi"/>
          <w:b/>
          <w:szCs w:val="22"/>
        </w:rPr>
      </w:pPr>
    </w:p>
    <w:p w:rsidRPr="00731976" w:rsidR="00F700A9" w:rsidP="00F700A9" w:rsidRDefault="00F700A9" w14:paraId="2F95F8F6" w14:textId="77777777">
      <w:pPr>
        <w:pStyle w:val="Body1"/>
        <w:widowControl/>
        <w:spacing w:line="240" w:lineRule="auto"/>
        <w:jc w:val="left"/>
        <w:rPr>
          <w:rFonts w:asciiTheme="minorHAnsi" w:hAnsiTheme="minorHAnsi" w:cstheme="minorHAnsi"/>
          <w:b/>
          <w:szCs w:val="22"/>
        </w:rPr>
      </w:pPr>
      <w:r w:rsidRPr="00731976">
        <w:rPr>
          <w:rFonts w:asciiTheme="minorHAnsi" w:hAnsiTheme="minorHAnsi" w:cstheme="minorHAnsi"/>
          <w:b/>
          <w:szCs w:val="22"/>
        </w:rPr>
        <w:t>Costs</w:t>
      </w:r>
    </w:p>
    <w:p w:rsidRPr="00731976" w:rsidR="00FC1645" w:rsidP="00F700A9" w:rsidRDefault="00FC1645" w14:paraId="44D7DCE2" w14:textId="77777777">
      <w:pPr>
        <w:pStyle w:val="Body1"/>
        <w:widowControl/>
        <w:spacing w:line="240" w:lineRule="auto"/>
        <w:jc w:val="left"/>
        <w:rPr>
          <w:rFonts w:asciiTheme="minorHAnsi" w:hAnsiTheme="minorHAnsi" w:cstheme="minorHAnsi"/>
          <w:szCs w:val="22"/>
        </w:rPr>
      </w:pPr>
    </w:p>
    <w:p w:rsidRPr="00731976" w:rsidR="00F700A9" w:rsidP="00F700A9" w:rsidRDefault="00F700A9" w14:paraId="77D010D3" w14:textId="473B36A8">
      <w:pPr>
        <w:pStyle w:val="Body1"/>
        <w:widowControl/>
        <w:spacing w:line="240" w:lineRule="auto"/>
        <w:jc w:val="left"/>
        <w:rPr>
          <w:rFonts w:asciiTheme="minorHAnsi" w:hAnsiTheme="minorHAnsi" w:cstheme="minorHAnsi"/>
          <w:b/>
          <w:szCs w:val="22"/>
        </w:rPr>
      </w:pPr>
      <w:r w:rsidRPr="00731976">
        <w:rPr>
          <w:rFonts w:asciiTheme="minorHAnsi" w:hAnsiTheme="minorHAnsi" w:cstheme="minorHAnsi"/>
          <w:szCs w:val="22"/>
        </w:rPr>
        <w:t xml:space="preserve">All </w:t>
      </w:r>
      <w:r w:rsidRPr="00731976" w:rsidR="00FC1645">
        <w:rPr>
          <w:rFonts w:asciiTheme="minorHAnsi" w:hAnsiTheme="minorHAnsi" w:cstheme="minorHAnsi"/>
          <w:szCs w:val="22"/>
        </w:rPr>
        <w:t xml:space="preserve">other </w:t>
      </w:r>
      <w:r w:rsidRPr="00731976">
        <w:rPr>
          <w:rFonts w:asciiTheme="minorHAnsi" w:hAnsiTheme="minorHAnsi" w:cstheme="minorHAnsi"/>
          <w:szCs w:val="22"/>
        </w:rPr>
        <w:t xml:space="preserve">costs of implementing the Merger, including legal, </w:t>
      </w:r>
      <w:proofErr w:type="gramStart"/>
      <w:r w:rsidRPr="00731976">
        <w:rPr>
          <w:rFonts w:asciiTheme="minorHAnsi" w:hAnsiTheme="minorHAnsi" w:cstheme="minorHAnsi"/>
          <w:szCs w:val="22"/>
        </w:rPr>
        <w:t>advisory</w:t>
      </w:r>
      <w:proofErr w:type="gramEnd"/>
      <w:r w:rsidRPr="00731976">
        <w:rPr>
          <w:rFonts w:asciiTheme="minorHAnsi" w:hAnsiTheme="minorHAnsi" w:cstheme="minorHAnsi"/>
          <w:szCs w:val="22"/>
        </w:rPr>
        <w:t xml:space="preserve"> and administrative expenses, will be paid by </w:t>
      </w:r>
      <w:r w:rsidRPr="00731976" w:rsidR="004B75E7">
        <w:rPr>
          <w:rFonts w:asciiTheme="minorHAnsi" w:hAnsiTheme="minorHAnsi" w:cstheme="minorHAnsi"/>
          <w:szCs w:val="22"/>
        </w:rPr>
        <w:t>Alquity Investment Manage</w:t>
      </w:r>
      <w:r w:rsidRPr="00731976" w:rsidR="001E1733">
        <w:rPr>
          <w:rFonts w:asciiTheme="minorHAnsi" w:hAnsiTheme="minorHAnsi" w:cstheme="minorHAnsi"/>
          <w:szCs w:val="22"/>
        </w:rPr>
        <w:t>ment</w:t>
      </w:r>
      <w:r w:rsidRPr="00731976" w:rsidR="004B75E7">
        <w:rPr>
          <w:rFonts w:asciiTheme="minorHAnsi" w:hAnsiTheme="minorHAnsi" w:cstheme="minorHAnsi"/>
          <w:szCs w:val="22"/>
        </w:rPr>
        <w:t xml:space="preserve"> Limited</w:t>
      </w:r>
      <w:r w:rsidRPr="00731976">
        <w:rPr>
          <w:rFonts w:asciiTheme="minorHAnsi" w:hAnsiTheme="minorHAnsi" w:cstheme="minorHAnsi"/>
          <w:szCs w:val="22"/>
        </w:rPr>
        <w:t>.</w:t>
      </w:r>
      <w:r w:rsidRPr="00E03629" w:rsidR="00E03629">
        <w:rPr>
          <w:rFonts w:asciiTheme="minorHAnsi" w:hAnsiTheme="minorHAnsi" w:cstheme="minorHAnsi"/>
          <w:b/>
          <w:bCs/>
          <w:i/>
          <w:iCs/>
          <w:szCs w:val="22"/>
          <w:highlight w:val="yellow"/>
        </w:rPr>
        <w:t xml:space="preserve"> </w:t>
      </w:r>
    </w:p>
    <w:p w:rsidRPr="00731976" w:rsidR="00F700A9" w:rsidP="00F700A9" w:rsidRDefault="00F700A9" w14:paraId="0422553C" w14:textId="77777777">
      <w:pPr>
        <w:pStyle w:val="Body1"/>
        <w:widowControl/>
        <w:spacing w:line="240" w:lineRule="auto"/>
        <w:jc w:val="left"/>
        <w:rPr>
          <w:rFonts w:asciiTheme="minorHAnsi" w:hAnsiTheme="minorHAnsi" w:cstheme="minorHAnsi"/>
          <w:b/>
          <w:szCs w:val="22"/>
        </w:rPr>
      </w:pPr>
    </w:p>
    <w:p w:rsidRPr="00731976" w:rsidR="00F700A9" w:rsidP="00F700A9" w:rsidRDefault="00F700A9" w14:paraId="342C8589" w14:textId="77777777">
      <w:pPr>
        <w:pStyle w:val="Body1"/>
        <w:widowControl/>
        <w:spacing w:line="240" w:lineRule="auto"/>
        <w:jc w:val="left"/>
        <w:rPr>
          <w:rFonts w:asciiTheme="minorHAnsi" w:hAnsiTheme="minorHAnsi" w:cstheme="minorHAnsi"/>
          <w:b/>
          <w:szCs w:val="22"/>
        </w:rPr>
      </w:pPr>
      <w:r w:rsidRPr="00731976">
        <w:rPr>
          <w:rFonts w:asciiTheme="minorHAnsi" w:hAnsiTheme="minorHAnsi" w:cstheme="minorHAnsi"/>
          <w:b/>
          <w:szCs w:val="22"/>
        </w:rPr>
        <w:t>Tax implications</w:t>
      </w:r>
    </w:p>
    <w:p w:rsidRPr="00731976" w:rsidR="00F700A9" w:rsidP="00F700A9" w:rsidRDefault="00F700A9" w14:paraId="2B0BAF17" w14:textId="77777777">
      <w:pPr>
        <w:pStyle w:val="Body1"/>
        <w:widowControl/>
        <w:spacing w:line="240" w:lineRule="auto"/>
        <w:jc w:val="left"/>
        <w:rPr>
          <w:rFonts w:asciiTheme="minorHAnsi" w:hAnsiTheme="minorHAnsi" w:cstheme="minorHAnsi"/>
          <w:szCs w:val="22"/>
        </w:rPr>
      </w:pPr>
    </w:p>
    <w:p w:rsidRPr="00731976" w:rsidR="00F700A9" w:rsidP="00F700A9" w:rsidRDefault="00F700A9" w14:paraId="7A48C26B" w14:textId="37E4D85C">
      <w:pPr>
        <w:pStyle w:val="Body1"/>
        <w:widowControl/>
        <w:spacing w:line="240" w:lineRule="auto"/>
        <w:rPr>
          <w:rFonts w:asciiTheme="minorHAnsi" w:hAnsiTheme="minorHAnsi" w:cstheme="minorHAnsi"/>
          <w:b/>
          <w:szCs w:val="22"/>
        </w:rPr>
      </w:pPr>
      <w:r w:rsidRPr="00731976">
        <w:rPr>
          <w:rFonts w:asciiTheme="minorHAnsi" w:hAnsiTheme="minorHAnsi" w:cstheme="minorHAnsi"/>
          <w:b/>
          <w:szCs w:val="22"/>
        </w:rPr>
        <w:t xml:space="preserve">Please be aware that the Merger may create a chargeable tax event in your country of tax residence.  Your tax position may also change </w:t>
      </w:r>
      <w:proofErr w:type="gramStart"/>
      <w:r w:rsidRPr="00731976">
        <w:rPr>
          <w:rFonts w:asciiTheme="minorHAnsi" w:hAnsiTheme="minorHAnsi" w:cstheme="minorHAnsi"/>
          <w:b/>
          <w:szCs w:val="22"/>
        </w:rPr>
        <w:t>as a result of</w:t>
      </w:r>
      <w:proofErr w:type="gramEnd"/>
      <w:r w:rsidRPr="00731976">
        <w:rPr>
          <w:rFonts w:asciiTheme="minorHAnsi" w:hAnsiTheme="minorHAnsi" w:cstheme="minorHAnsi"/>
          <w:b/>
          <w:szCs w:val="22"/>
        </w:rPr>
        <w:t xml:space="preserve"> the Merger under the tax laws in the country of your nationality, residence, domicile or incorporation and we strongly suggest seeking advice from your financial advisor to ensure that the </w:t>
      </w:r>
      <w:r w:rsidRPr="00731976" w:rsidR="007A5A9B">
        <w:rPr>
          <w:rFonts w:asciiTheme="minorHAnsi" w:hAnsiTheme="minorHAnsi" w:cstheme="minorHAnsi"/>
          <w:b/>
          <w:szCs w:val="22"/>
        </w:rPr>
        <w:t>Receiving Sub-Fund</w:t>
      </w:r>
      <w:r w:rsidRPr="00731976">
        <w:rPr>
          <w:rFonts w:asciiTheme="minorHAnsi" w:hAnsiTheme="minorHAnsi" w:cstheme="minorHAnsi"/>
          <w:b/>
          <w:szCs w:val="22"/>
        </w:rPr>
        <w:t xml:space="preserve">, in which you will become a shareholder, is in line with your requirements and situation. </w:t>
      </w:r>
    </w:p>
    <w:p w:rsidRPr="00731976" w:rsidR="00F700A9" w:rsidP="00F700A9" w:rsidRDefault="00F700A9" w14:paraId="0D08B497" w14:textId="77777777">
      <w:pPr>
        <w:pStyle w:val="Body1"/>
        <w:widowControl/>
        <w:spacing w:line="240" w:lineRule="auto"/>
        <w:rPr>
          <w:rFonts w:asciiTheme="minorHAnsi" w:hAnsiTheme="minorHAnsi" w:cstheme="minorHAnsi"/>
          <w:b/>
          <w:szCs w:val="22"/>
        </w:rPr>
      </w:pPr>
    </w:p>
    <w:p w:rsidRPr="00731976" w:rsidR="00E91667" w:rsidP="00F700A9" w:rsidRDefault="00E91667" w14:paraId="04037D7F" w14:textId="5536A36B">
      <w:pPr>
        <w:autoSpaceDE w:val="0"/>
        <w:autoSpaceDN w:val="0"/>
        <w:adjustRightInd w:val="0"/>
        <w:rPr>
          <w:rFonts w:asciiTheme="minorHAnsi" w:hAnsiTheme="minorHAnsi" w:cstheme="minorHAnsi"/>
          <w:color w:val="000000"/>
          <w:kern w:val="28"/>
          <w:sz w:val="22"/>
          <w:szCs w:val="22"/>
          <w:lang w:eastAsia="en-US"/>
        </w:rPr>
      </w:pPr>
    </w:p>
    <w:p w:rsidRPr="00731976" w:rsidR="00F700A9" w:rsidP="00F700A9" w:rsidRDefault="00F700A9" w14:paraId="285C0625" w14:textId="77777777">
      <w:pPr>
        <w:autoSpaceDE w:val="0"/>
        <w:autoSpaceDN w:val="0"/>
        <w:adjustRightInd w:val="0"/>
        <w:rPr>
          <w:rFonts w:asciiTheme="minorHAnsi" w:hAnsiTheme="minorHAnsi" w:cstheme="minorHAnsi"/>
          <w:b/>
          <w:kern w:val="28"/>
          <w:sz w:val="22"/>
          <w:szCs w:val="22"/>
          <w:lang w:eastAsia="en-US"/>
        </w:rPr>
      </w:pPr>
      <w:r w:rsidRPr="00731976">
        <w:rPr>
          <w:rFonts w:asciiTheme="minorHAnsi" w:hAnsiTheme="minorHAnsi" w:cstheme="minorHAnsi"/>
          <w:b/>
          <w:kern w:val="28"/>
          <w:sz w:val="22"/>
          <w:szCs w:val="22"/>
          <w:lang w:eastAsia="en-US"/>
        </w:rPr>
        <w:lastRenderedPageBreak/>
        <w:t>Additional Information</w:t>
      </w:r>
    </w:p>
    <w:p w:rsidRPr="00731976" w:rsidR="00F700A9" w:rsidP="00F700A9" w:rsidRDefault="00F700A9" w14:paraId="6D648D95" w14:textId="77777777">
      <w:pPr>
        <w:autoSpaceDE w:val="0"/>
        <w:autoSpaceDN w:val="0"/>
        <w:adjustRightInd w:val="0"/>
        <w:rPr>
          <w:rFonts w:asciiTheme="minorHAnsi" w:hAnsiTheme="minorHAnsi" w:cstheme="minorHAnsi"/>
          <w:color w:val="000000"/>
          <w:kern w:val="28"/>
          <w:sz w:val="22"/>
          <w:szCs w:val="22"/>
          <w:lang w:eastAsia="en-US"/>
        </w:rPr>
      </w:pPr>
    </w:p>
    <w:p w:rsidRPr="00731976" w:rsidR="00F700A9" w:rsidP="00F700A9" w:rsidRDefault="00F700A9" w14:paraId="45988CA8" w14:textId="091309A6">
      <w:pPr>
        <w:rPr>
          <w:rFonts w:asciiTheme="minorHAnsi" w:hAnsiTheme="minorHAnsi" w:cstheme="minorHAnsi"/>
          <w:sz w:val="22"/>
          <w:szCs w:val="22"/>
        </w:rPr>
      </w:pPr>
      <w:r w:rsidRPr="00731976">
        <w:rPr>
          <w:rFonts w:asciiTheme="minorHAnsi" w:hAnsiTheme="minorHAnsi" w:cstheme="minorHAnsi"/>
          <w:sz w:val="22"/>
          <w:szCs w:val="22"/>
          <w:lang w:val="en-US"/>
        </w:rPr>
        <w:t xml:space="preserve">You may obtain a copy of the auditor’s report, a copy of the common terms of merger, and a copy of the respective confirmation statements made by the </w:t>
      </w:r>
      <w:r w:rsidRPr="00731976" w:rsidR="007A5A9B">
        <w:rPr>
          <w:rFonts w:asciiTheme="minorHAnsi" w:hAnsiTheme="minorHAnsi" w:cstheme="minorHAnsi"/>
          <w:sz w:val="22"/>
          <w:szCs w:val="22"/>
          <w:lang w:val="en-US"/>
        </w:rPr>
        <w:t>Receiving Sub-Fund</w:t>
      </w:r>
      <w:r w:rsidRPr="00731976" w:rsidR="00BF3DB9">
        <w:rPr>
          <w:rFonts w:asciiTheme="minorHAnsi" w:hAnsiTheme="minorHAnsi" w:cstheme="minorHAnsi"/>
          <w:sz w:val="22"/>
          <w:szCs w:val="22"/>
          <w:lang w:val="en-US"/>
        </w:rPr>
        <w:t>’s</w:t>
      </w:r>
      <w:r w:rsidRPr="00731976">
        <w:rPr>
          <w:rFonts w:asciiTheme="minorHAnsi" w:hAnsiTheme="minorHAnsi" w:cstheme="minorHAnsi"/>
          <w:sz w:val="22"/>
          <w:szCs w:val="22"/>
          <w:lang w:val="en-US"/>
        </w:rPr>
        <w:t xml:space="preserve"> Depositary and </w:t>
      </w:r>
      <w:r w:rsidRPr="00731976" w:rsidR="007A5A9B">
        <w:rPr>
          <w:rFonts w:asciiTheme="minorHAnsi" w:hAnsiTheme="minorHAnsi" w:cstheme="minorHAnsi"/>
          <w:sz w:val="22"/>
          <w:szCs w:val="22"/>
          <w:lang w:val="en-US"/>
        </w:rPr>
        <w:t>Merging Sub-Fund</w:t>
      </w:r>
      <w:r w:rsidR="00E03629">
        <w:rPr>
          <w:rFonts w:asciiTheme="minorHAnsi" w:hAnsiTheme="minorHAnsi" w:cstheme="minorHAnsi"/>
          <w:sz w:val="22"/>
          <w:szCs w:val="22"/>
          <w:lang w:val="en-US"/>
        </w:rPr>
        <w:t>’</w:t>
      </w:r>
      <w:r w:rsidRPr="00731976" w:rsidR="001D4338">
        <w:rPr>
          <w:rFonts w:asciiTheme="minorHAnsi" w:hAnsiTheme="minorHAnsi" w:cstheme="minorHAnsi"/>
          <w:sz w:val="22"/>
          <w:szCs w:val="22"/>
          <w:lang w:val="en-US"/>
        </w:rPr>
        <w:t>s’</w:t>
      </w:r>
      <w:r w:rsidRPr="00731976">
        <w:rPr>
          <w:rFonts w:asciiTheme="minorHAnsi" w:hAnsiTheme="minorHAnsi" w:cstheme="minorHAnsi"/>
          <w:sz w:val="22"/>
          <w:szCs w:val="22"/>
          <w:lang w:val="en-US"/>
        </w:rPr>
        <w:t xml:space="preserve"> Depositary in respect of the Merger, in each case free of charge, upon written request to our registered office at </w:t>
      </w:r>
      <w:r w:rsidRPr="00731976" w:rsidR="00D244DF">
        <w:rPr>
          <w:rFonts w:asciiTheme="minorHAnsi" w:hAnsiTheme="minorHAnsi" w:cstheme="minorHAnsi"/>
          <w:sz w:val="22"/>
          <w:szCs w:val="22"/>
          <w:lang w:val="en-US"/>
        </w:rPr>
        <w:t>Alquity SICAV</w:t>
      </w:r>
      <w:r w:rsidRPr="00731976">
        <w:rPr>
          <w:rFonts w:asciiTheme="minorHAnsi" w:hAnsiTheme="minorHAnsi" w:cstheme="minorHAnsi"/>
          <w:sz w:val="22"/>
          <w:szCs w:val="22"/>
          <w:lang w:val="en-US"/>
        </w:rPr>
        <w:t xml:space="preserve">, </w:t>
      </w:r>
      <w:r w:rsidRPr="00731976" w:rsidR="00D265A1">
        <w:rPr>
          <w:rFonts w:asciiTheme="minorHAnsi" w:hAnsiTheme="minorHAnsi" w:cstheme="minorHAnsi"/>
          <w:sz w:val="22"/>
          <w:szCs w:val="22"/>
          <w:lang w:val="en-US"/>
        </w:rPr>
        <w:t>46A, avenue J.F. Kennedy, L-1855 Luxembourg</w:t>
      </w:r>
      <w:r w:rsidRPr="00731976">
        <w:rPr>
          <w:rFonts w:asciiTheme="minorHAnsi" w:hAnsiTheme="minorHAnsi" w:cstheme="minorHAnsi"/>
          <w:sz w:val="22"/>
          <w:szCs w:val="22"/>
          <w:lang w:val="en-US"/>
        </w:rPr>
        <w:t>, Grand Duchy of Luxembourg</w:t>
      </w:r>
      <w:r w:rsidRPr="00731976" w:rsidR="00BF3DB9">
        <w:rPr>
          <w:rFonts w:asciiTheme="minorHAnsi" w:hAnsiTheme="minorHAnsi" w:cstheme="minorHAnsi"/>
          <w:sz w:val="22"/>
          <w:szCs w:val="22"/>
          <w:lang w:val="en-US"/>
        </w:rPr>
        <w:t>.</w:t>
      </w:r>
      <w:r w:rsidRPr="00731976" w:rsidR="001E1733">
        <w:rPr>
          <w:rFonts w:asciiTheme="minorHAnsi" w:hAnsiTheme="minorHAnsi" w:cstheme="minorHAnsi"/>
          <w:b/>
          <w:bCs/>
          <w:i/>
          <w:iCs/>
          <w:sz w:val="22"/>
          <w:szCs w:val="22"/>
          <w:highlight w:val="yellow"/>
        </w:rPr>
        <w:t xml:space="preserve"> </w:t>
      </w:r>
    </w:p>
    <w:p w:rsidRPr="00731976" w:rsidR="00F700A9" w:rsidP="00F700A9" w:rsidRDefault="00F700A9" w14:paraId="0858E8DE" w14:textId="77777777">
      <w:pPr>
        <w:rPr>
          <w:rFonts w:asciiTheme="minorHAnsi" w:hAnsiTheme="minorHAnsi" w:cstheme="minorHAnsi"/>
          <w:color w:val="000000"/>
          <w:kern w:val="28"/>
          <w:sz w:val="22"/>
          <w:szCs w:val="22"/>
          <w:lang w:eastAsia="en-US"/>
        </w:rPr>
      </w:pPr>
    </w:p>
    <w:p w:rsidRPr="00731976" w:rsidR="00F700A9" w:rsidP="00F700A9" w:rsidRDefault="00F700A9" w14:paraId="55EA4C56" w14:textId="77777777">
      <w:pPr>
        <w:rPr>
          <w:rFonts w:asciiTheme="minorHAnsi" w:hAnsiTheme="minorHAnsi" w:cstheme="minorHAnsi"/>
          <w:color w:val="000000"/>
          <w:kern w:val="28"/>
          <w:sz w:val="22"/>
          <w:szCs w:val="22"/>
          <w:lang w:eastAsia="en-US"/>
        </w:rPr>
      </w:pPr>
      <w:r w:rsidRPr="00731976">
        <w:rPr>
          <w:rFonts w:asciiTheme="minorHAnsi" w:hAnsiTheme="minorHAnsi" w:cstheme="minorHAnsi"/>
          <w:color w:val="000000"/>
          <w:kern w:val="28"/>
          <w:sz w:val="22"/>
          <w:szCs w:val="22"/>
          <w:lang w:eastAsia="en-US"/>
        </w:rPr>
        <w:t>If you have any questions or would like any further information, please contact us at our registered office.</w:t>
      </w:r>
    </w:p>
    <w:p w:rsidRPr="00731976" w:rsidR="00F700A9" w:rsidP="00F700A9" w:rsidRDefault="00F700A9" w14:paraId="187F6838" w14:textId="77777777">
      <w:pPr>
        <w:autoSpaceDE w:val="0"/>
        <w:autoSpaceDN w:val="0"/>
        <w:adjustRightInd w:val="0"/>
        <w:jc w:val="left"/>
        <w:rPr>
          <w:rFonts w:asciiTheme="minorHAnsi" w:hAnsiTheme="minorHAnsi" w:cstheme="minorHAnsi"/>
          <w:color w:val="000000"/>
          <w:kern w:val="28"/>
          <w:sz w:val="22"/>
          <w:szCs w:val="22"/>
          <w:lang w:eastAsia="en-US"/>
        </w:rPr>
      </w:pPr>
    </w:p>
    <w:p w:rsidRPr="00731976" w:rsidR="00F700A9" w:rsidP="00F700A9" w:rsidRDefault="00F700A9" w14:paraId="194CE6A0" w14:textId="77777777">
      <w:pPr>
        <w:autoSpaceDE w:val="0"/>
        <w:autoSpaceDN w:val="0"/>
        <w:adjustRightInd w:val="0"/>
        <w:jc w:val="left"/>
        <w:rPr>
          <w:rFonts w:asciiTheme="minorHAnsi" w:hAnsiTheme="minorHAnsi" w:cstheme="minorHAnsi"/>
          <w:color w:val="000000"/>
          <w:kern w:val="28"/>
          <w:sz w:val="22"/>
          <w:szCs w:val="22"/>
          <w:lang w:eastAsia="en-US"/>
        </w:rPr>
      </w:pPr>
    </w:p>
    <w:p w:rsidRPr="00731976" w:rsidR="00F700A9" w:rsidP="00F700A9" w:rsidRDefault="00F700A9" w14:paraId="36385394" w14:textId="77777777">
      <w:pPr>
        <w:autoSpaceDE w:val="0"/>
        <w:autoSpaceDN w:val="0"/>
        <w:adjustRightInd w:val="0"/>
        <w:jc w:val="left"/>
        <w:rPr>
          <w:rFonts w:asciiTheme="minorHAnsi" w:hAnsiTheme="minorHAnsi" w:cstheme="minorHAnsi"/>
          <w:color w:val="000000"/>
          <w:kern w:val="28"/>
          <w:sz w:val="22"/>
          <w:szCs w:val="22"/>
          <w:lang w:eastAsia="en-US"/>
        </w:rPr>
      </w:pPr>
    </w:p>
    <w:p w:rsidRPr="00731976" w:rsidR="00F700A9" w:rsidP="00F700A9" w:rsidRDefault="00F700A9" w14:paraId="29EB2B3C" w14:textId="77777777">
      <w:pPr>
        <w:autoSpaceDE w:val="0"/>
        <w:autoSpaceDN w:val="0"/>
        <w:adjustRightInd w:val="0"/>
        <w:jc w:val="left"/>
        <w:rPr>
          <w:rFonts w:asciiTheme="minorHAnsi" w:hAnsiTheme="minorHAnsi" w:cstheme="minorHAnsi"/>
          <w:color w:val="000000"/>
          <w:kern w:val="28"/>
          <w:sz w:val="22"/>
          <w:szCs w:val="22"/>
          <w:lang w:eastAsia="en-US"/>
        </w:rPr>
      </w:pPr>
      <w:r w:rsidRPr="00731976">
        <w:rPr>
          <w:rFonts w:asciiTheme="minorHAnsi" w:hAnsiTheme="minorHAnsi" w:cstheme="minorHAnsi"/>
          <w:color w:val="000000"/>
          <w:sz w:val="22"/>
          <w:szCs w:val="22"/>
        </w:rPr>
        <w:t>Yours faithfully,</w:t>
      </w:r>
    </w:p>
    <w:p w:rsidRPr="00731976" w:rsidR="00F700A9" w:rsidP="00F700A9" w:rsidRDefault="00F700A9" w14:paraId="3DE667CD" w14:textId="77777777">
      <w:pPr>
        <w:pStyle w:val="Body1"/>
        <w:widowControl/>
        <w:spacing w:line="240" w:lineRule="auto"/>
        <w:rPr>
          <w:rFonts w:asciiTheme="minorHAnsi" w:hAnsiTheme="minorHAnsi" w:cstheme="minorHAnsi"/>
          <w:color w:val="000000"/>
          <w:kern w:val="0"/>
          <w:szCs w:val="22"/>
          <w:lang w:eastAsia="en-GB"/>
        </w:rPr>
      </w:pPr>
    </w:p>
    <w:p w:rsidRPr="00731976" w:rsidR="00F700A9" w:rsidP="00F700A9" w:rsidRDefault="00F700A9" w14:paraId="4B28F67E" w14:textId="77777777">
      <w:pPr>
        <w:pStyle w:val="Body1"/>
        <w:widowControl/>
        <w:spacing w:line="240" w:lineRule="auto"/>
        <w:rPr>
          <w:rFonts w:asciiTheme="minorHAnsi" w:hAnsiTheme="minorHAnsi" w:cstheme="minorHAnsi"/>
          <w:color w:val="000000"/>
          <w:kern w:val="0"/>
          <w:szCs w:val="22"/>
          <w:lang w:eastAsia="en-GB"/>
        </w:rPr>
      </w:pPr>
    </w:p>
    <w:p w:rsidRPr="00731976" w:rsidR="00F700A9" w:rsidP="00F700A9" w:rsidRDefault="00F700A9" w14:paraId="7D852380" w14:textId="77777777">
      <w:pPr>
        <w:pStyle w:val="Body1"/>
        <w:widowControl/>
        <w:spacing w:line="240" w:lineRule="auto"/>
        <w:rPr>
          <w:rFonts w:asciiTheme="minorHAnsi" w:hAnsiTheme="minorHAnsi" w:cstheme="minorHAnsi"/>
          <w:color w:val="000000"/>
          <w:kern w:val="0"/>
          <w:szCs w:val="22"/>
          <w:lang w:eastAsia="en-GB"/>
        </w:rPr>
      </w:pPr>
    </w:p>
    <w:p w:rsidRPr="00731976" w:rsidR="00F700A9" w:rsidP="00F700A9" w:rsidRDefault="00F700A9" w14:paraId="77AFDCA2" w14:textId="57F8BFB6">
      <w:pPr>
        <w:pStyle w:val="Body1"/>
        <w:widowControl/>
        <w:spacing w:line="240" w:lineRule="auto"/>
        <w:rPr>
          <w:rFonts w:asciiTheme="minorHAnsi" w:hAnsiTheme="minorHAnsi" w:cstheme="minorHAnsi"/>
          <w:szCs w:val="22"/>
        </w:rPr>
      </w:pPr>
      <w:r w:rsidRPr="00731976">
        <w:rPr>
          <w:rFonts w:asciiTheme="minorHAnsi" w:hAnsiTheme="minorHAnsi" w:cstheme="minorHAnsi"/>
          <w:szCs w:val="22"/>
        </w:rPr>
        <w:t xml:space="preserve">For and on behalf of the Board of Directors of </w:t>
      </w:r>
      <w:r w:rsidRPr="00731976" w:rsidR="001D4338">
        <w:rPr>
          <w:rFonts w:asciiTheme="minorHAnsi" w:hAnsiTheme="minorHAnsi" w:cstheme="minorHAnsi"/>
          <w:szCs w:val="22"/>
        </w:rPr>
        <w:t>Alquity SICAV</w:t>
      </w:r>
    </w:p>
    <w:p w:rsidRPr="00731976" w:rsidR="00F700A9" w:rsidP="00F700A9" w:rsidRDefault="00F700A9" w14:paraId="30B02BDD" w14:textId="77777777">
      <w:pPr>
        <w:pStyle w:val="Appendix4"/>
        <w:pageBreakBefore/>
        <w:numPr>
          <w:ilvl w:val="0"/>
          <w:numId w:val="0"/>
        </w:numPr>
        <w:jc w:val="center"/>
        <w:rPr>
          <w:rFonts w:asciiTheme="minorHAnsi" w:hAnsiTheme="minorHAnsi" w:cstheme="minorHAnsi"/>
          <w:b/>
          <w:sz w:val="22"/>
          <w:szCs w:val="22"/>
          <w:u w:val="single"/>
        </w:rPr>
      </w:pPr>
      <w:r w:rsidRPr="00731976">
        <w:rPr>
          <w:rFonts w:asciiTheme="minorHAnsi" w:hAnsiTheme="minorHAnsi" w:cstheme="minorHAnsi"/>
          <w:b/>
          <w:sz w:val="22"/>
          <w:szCs w:val="22"/>
          <w:u w:val="single"/>
        </w:rPr>
        <w:lastRenderedPageBreak/>
        <w:t>Appendix 1</w:t>
      </w:r>
    </w:p>
    <w:p w:rsidRPr="00731976" w:rsidR="00F700A9" w:rsidP="00F700A9" w:rsidRDefault="00F700A9" w14:paraId="718F7E3F" w14:textId="77777777">
      <w:pPr>
        <w:pStyle w:val="Appendix4"/>
        <w:numPr>
          <w:ilvl w:val="0"/>
          <w:numId w:val="0"/>
        </w:numPr>
        <w:jc w:val="center"/>
        <w:rPr>
          <w:rFonts w:asciiTheme="minorHAnsi" w:hAnsiTheme="minorHAnsi" w:cstheme="minorHAnsi"/>
          <w:b/>
          <w:sz w:val="22"/>
          <w:szCs w:val="22"/>
        </w:rPr>
      </w:pPr>
    </w:p>
    <w:p w:rsidRPr="00731976" w:rsidR="00F700A9" w:rsidP="00F700A9" w:rsidRDefault="00F700A9" w14:paraId="28EB233C" w14:textId="77777777">
      <w:pPr>
        <w:jc w:val="center"/>
        <w:rPr>
          <w:rFonts w:asciiTheme="minorHAnsi" w:hAnsiTheme="minorHAnsi" w:cstheme="minorHAnsi"/>
          <w:b/>
          <w:sz w:val="22"/>
          <w:szCs w:val="22"/>
        </w:rPr>
      </w:pPr>
      <w:r w:rsidRPr="00731976">
        <w:rPr>
          <w:rFonts w:asciiTheme="minorHAnsi" w:hAnsiTheme="minorHAnsi" w:cstheme="minorHAnsi"/>
          <w:b/>
          <w:sz w:val="22"/>
          <w:szCs w:val="22"/>
        </w:rPr>
        <w:t>Glossary</w:t>
      </w:r>
    </w:p>
    <w:p w:rsidRPr="00731976" w:rsidR="00F700A9" w:rsidP="00F700A9" w:rsidRDefault="00F700A9" w14:paraId="5FB38172" w14:textId="77777777">
      <w:pPr>
        <w:rPr>
          <w:rFonts w:asciiTheme="minorHAnsi" w:hAnsiTheme="minorHAnsi" w:cstheme="minorHAnsi"/>
          <w:b/>
          <w:sz w:val="22"/>
          <w:szCs w:val="22"/>
        </w:rPr>
      </w:pPr>
    </w:p>
    <w:p w:rsidRPr="00731976" w:rsidR="00F700A9" w:rsidP="00F700A9" w:rsidRDefault="00F700A9" w14:paraId="0479EBA7" w14:textId="77777777">
      <w:pPr>
        <w:rPr>
          <w:rFonts w:asciiTheme="minorHAnsi" w:hAnsiTheme="minorHAnsi" w:cstheme="minorHAnsi"/>
          <w:sz w:val="22"/>
          <w:szCs w:val="22"/>
        </w:rPr>
      </w:pPr>
    </w:p>
    <w:tbl>
      <w:tblPr>
        <w:tblW w:w="8884" w:type="dxa"/>
        <w:tblLayout w:type="fixed"/>
        <w:tblLook w:val="0000" w:firstRow="0" w:lastRow="0" w:firstColumn="0" w:lastColumn="0" w:noHBand="0" w:noVBand="0"/>
      </w:tblPr>
      <w:tblGrid>
        <w:gridCol w:w="4428"/>
        <w:gridCol w:w="4456"/>
      </w:tblGrid>
      <w:tr w:rsidRPr="004E4C21" w:rsidR="00F700A9" w:rsidTr="008E2917" w14:paraId="48AE2AD9" w14:textId="77777777">
        <w:tc>
          <w:tcPr>
            <w:tcW w:w="4428" w:type="dxa"/>
          </w:tcPr>
          <w:p w:rsidRPr="00731976" w:rsidR="00F700A9" w:rsidP="008E2917" w:rsidRDefault="00F700A9" w14:paraId="54521519" w14:textId="77777777">
            <w:pPr>
              <w:rPr>
                <w:rFonts w:asciiTheme="minorHAnsi" w:hAnsiTheme="minorHAnsi" w:cstheme="minorHAnsi"/>
                <w:b/>
                <w:color w:val="000000"/>
                <w:sz w:val="22"/>
                <w:szCs w:val="22"/>
              </w:rPr>
            </w:pPr>
            <w:r w:rsidRPr="00731976">
              <w:rPr>
                <w:rFonts w:asciiTheme="minorHAnsi" w:hAnsiTheme="minorHAnsi" w:cstheme="minorHAnsi"/>
                <w:b/>
                <w:color w:val="000000"/>
                <w:sz w:val="22"/>
                <w:szCs w:val="22"/>
              </w:rPr>
              <w:t>2010 Law</w:t>
            </w:r>
          </w:p>
          <w:p w:rsidRPr="00731976" w:rsidR="00F700A9" w:rsidP="008E2917" w:rsidRDefault="00F700A9" w14:paraId="6C003918" w14:textId="77777777">
            <w:pPr>
              <w:rPr>
                <w:rFonts w:asciiTheme="minorHAnsi" w:hAnsiTheme="minorHAnsi" w:cstheme="minorHAnsi"/>
                <w:b/>
                <w:sz w:val="22"/>
                <w:szCs w:val="22"/>
              </w:rPr>
            </w:pPr>
          </w:p>
        </w:tc>
        <w:tc>
          <w:tcPr>
            <w:tcW w:w="4456" w:type="dxa"/>
          </w:tcPr>
          <w:p w:rsidRPr="00731976" w:rsidR="00F700A9" w:rsidP="008E2917" w:rsidRDefault="00F700A9" w14:paraId="5F9B45D4" w14:textId="77777777">
            <w:pPr>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the Luxembourg law of 17 December 2010 regarding undertakings for collective investment, as </w:t>
            </w:r>
            <w:proofErr w:type="gramStart"/>
            <w:r w:rsidRPr="00731976">
              <w:rPr>
                <w:rFonts w:asciiTheme="minorHAnsi" w:hAnsiTheme="minorHAnsi" w:cstheme="minorHAnsi"/>
                <w:color w:val="000000"/>
                <w:sz w:val="22"/>
                <w:szCs w:val="22"/>
              </w:rPr>
              <w:t>amended;</w:t>
            </w:r>
            <w:proofErr w:type="gramEnd"/>
          </w:p>
          <w:p w:rsidRPr="00731976" w:rsidR="00F700A9" w:rsidP="008E2917" w:rsidRDefault="00F700A9" w14:paraId="62D2B672" w14:textId="77777777">
            <w:pPr>
              <w:rPr>
                <w:rFonts w:asciiTheme="minorHAnsi" w:hAnsiTheme="minorHAnsi" w:cstheme="minorHAnsi"/>
                <w:sz w:val="22"/>
                <w:szCs w:val="22"/>
              </w:rPr>
            </w:pPr>
          </w:p>
        </w:tc>
      </w:tr>
      <w:tr w:rsidRPr="00C53EC3" w:rsidR="00F700A9" w:rsidTr="008E2917" w14:paraId="30636164" w14:textId="77777777">
        <w:tc>
          <w:tcPr>
            <w:tcW w:w="4428" w:type="dxa"/>
          </w:tcPr>
          <w:p w:rsidRPr="00731976" w:rsidR="00F700A9" w:rsidP="00105602" w:rsidRDefault="00E62168" w14:paraId="52A8E533" w14:textId="01326301">
            <w:pPr>
              <w:rPr>
                <w:rFonts w:asciiTheme="minorHAnsi" w:hAnsiTheme="minorHAnsi" w:cstheme="minorHAnsi"/>
                <w:b/>
                <w:sz w:val="22"/>
                <w:szCs w:val="22"/>
                <w:lang w:val="de-DE"/>
              </w:rPr>
            </w:pPr>
            <w:r w:rsidRPr="00731976">
              <w:rPr>
                <w:rFonts w:asciiTheme="minorHAnsi" w:hAnsiTheme="minorHAnsi" w:cstheme="minorHAnsi"/>
                <w:b/>
                <w:sz w:val="22"/>
                <w:szCs w:val="22"/>
                <w:lang w:val="de-DE"/>
              </w:rPr>
              <w:t xml:space="preserve">Alquity SICAV </w:t>
            </w:r>
          </w:p>
        </w:tc>
        <w:tc>
          <w:tcPr>
            <w:tcW w:w="4456" w:type="dxa"/>
          </w:tcPr>
          <w:p w:rsidRPr="00731976" w:rsidR="00F700A9" w:rsidP="008E2917" w:rsidRDefault="00B368FC" w14:paraId="5780D0C7" w14:textId="5966A640">
            <w:pPr>
              <w:rPr>
                <w:rFonts w:asciiTheme="minorHAnsi" w:hAnsiTheme="minorHAnsi" w:cstheme="minorHAnsi"/>
                <w:sz w:val="22"/>
                <w:szCs w:val="22"/>
                <w:lang w:val="fr-FR"/>
              </w:rPr>
            </w:pPr>
            <w:r w:rsidRPr="00731976">
              <w:rPr>
                <w:rFonts w:asciiTheme="minorHAnsi" w:hAnsiTheme="minorHAnsi" w:cstheme="minorHAnsi"/>
                <w:sz w:val="22"/>
                <w:szCs w:val="22"/>
                <w:lang w:val="fr-FR"/>
              </w:rPr>
              <w:t>Alquity SICAV</w:t>
            </w:r>
            <w:r w:rsidRPr="00731976" w:rsidR="00F700A9">
              <w:rPr>
                <w:rFonts w:asciiTheme="minorHAnsi" w:hAnsiTheme="minorHAnsi" w:cstheme="minorHAnsi"/>
                <w:sz w:val="22"/>
                <w:szCs w:val="22"/>
                <w:lang w:val="fr-FR"/>
              </w:rPr>
              <w:t xml:space="preserve">, </w:t>
            </w:r>
            <w:proofErr w:type="spellStart"/>
            <w:r w:rsidRPr="00731976" w:rsidR="00F700A9">
              <w:rPr>
                <w:rFonts w:asciiTheme="minorHAnsi" w:hAnsiTheme="minorHAnsi" w:cstheme="minorHAnsi"/>
                <w:sz w:val="22"/>
                <w:szCs w:val="22"/>
                <w:lang w:val="fr-FR"/>
              </w:rPr>
              <w:t>a</w:t>
            </w:r>
            <w:proofErr w:type="spellEnd"/>
            <w:r w:rsidRPr="00731976" w:rsidR="00F700A9">
              <w:rPr>
                <w:rFonts w:asciiTheme="minorHAnsi" w:hAnsiTheme="minorHAnsi" w:cstheme="minorHAnsi"/>
                <w:sz w:val="22"/>
                <w:szCs w:val="22"/>
                <w:lang w:val="fr-FR"/>
              </w:rPr>
              <w:t xml:space="preserve"> Luxembourg-</w:t>
            </w:r>
            <w:proofErr w:type="spellStart"/>
            <w:r w:rsidRPr="00731976" w:rsidR="00F700A9">
              <w:rPr>
                <w:rFonts w:asciiTheme="minorHAnsi" w:hAnsiTheme="minorHAnsi" w:cstheme="minorHAnsi"/>
                <w:sz w:val="22"/>
                <w:szCs w:val="22"/>
                <w:lang w:val="fr-FR"/>
              </w:rPr>
              <w:t>domiciled</w:t>
            </w:r>
            <w:proofErr w:type="spellEnd"/>
            <w:r w:rsidRPr="00731976" w:rsidR="00F700A9">
              <w:rPr>
                <w:rFonts w:asciiTheme="minorHAnsi" w:hAnsiTheme="minorHAnsi" w:cstheme="minorHAnsi"/>
                <w:sz w:val="22"/>
                <w:szCs w:val="22"/>
                <w:lang w:val="fr-FR"/>
              </w:rPr>
              <w:t xml:space="preserve"> </w:t>
            </w:r>
            <w:r w:rsidRPr="00731976" w:rsidR="00F700A9">
              <w:rPr>
                <w:rFonts w:asciiTheme="minorHAnsi" w:hAnsiTheme="minorHAnsi" w:cstheme="minorHAnsi"/>
                <w:i/>
                <w:sz w:val="22"/>
                <w:szCs w:val="22"/>
                <w:lang w:val="fr-FR"/>
              </w:rPr>
              <w:t>société d'investissement à capital variable</w:t>
            </w:r>
            <w:r w:rsidRPr="00731976" w:rsidR="00F700A9">
              <w:rPr>
                <w:rFonts w:asciiTheme="minorHAnsi" w:hAnsiTheme="minorHAnsi" w:cstheme="minorHAnsi"/>
                <w:sz w:val="22"/>
                <w:szCs w:val="22"/>
                <w:lang w:val="fr-FR"/>
              </w:rPr>
              <w:t xml:space="preserve"> </w:t>
            </w:r>
            <w:proofErr w:type="spellStart"/>
            <w:r w:rsidRPr="00731976" w:rsidR="00F700A9">
              <w:rPr>
                <w:rFonts w:asciiTheme="minorHAnsi" w:hAnsiTheme="minorHAnsi" w:cstheme="minorHAnsi"/>
                <w:sz w:val="22"/>
                <w:szCs w:val="22"/>
                <w:lang w:val="fr-FR"/>
              </w:rPr>
              <w:t>established</w:t>
            </w:r>
            <w:proofErr w:type="spellEnd"/>
            <w:r w:rsidRPr="00731976" w:rsidR="00F700A9">
              <w:rPr>
                <w:rFonts w:asciiTheme="minorHAnsi" w:hAnsiTheme="minorHAnsi" w:cstheme="minorHAnsi"/>
                <w:sz w:val="22"/>
                <w:szCs w:val="22"/>
                <w:lang w:val="fr-FR"/>
              </w:rPr>
              <w:t xml:space="preserve"> as a </w:t>
            </w:r>
            <w:r w:rsidRPr="00731976" w:rsidR="00F700A9">
              <w:rPr>
                <w:rFonts w:asciiTheme="minorHAnsi" w:hAnsiTheme="minorHAnsi" w:cstheme="minorHAnsi"/>
                <w:i/>
                <w:sz w:val="22"/>
                <w:szCs w:val="22"/>
                <w:lang w:val="fr-FR"/>
              </w:rPr>
              <w:t xml:space="preserve">société </w:t>
            </w:r>
            <w:proofErr w:type="gramStart"/>
            <w:r w:rsidRPr="00731976" w:rsidR="00F700A9">
              <w:rPr>
                <w:rFonts w:asciiTheme="minorHAnsi" w:hAnsiTheme="minorHAnsi" w:cstheme="minorHAnsi"/>
                <w:i/>
                <w:sz w:val="22"/>
                <w:szCs w:val="22"/>
                <w:lang w:val="fr-FR"/>
              </w:rPr>
              <w:t>anonyme</w:t>
            </w:r>
            <w:r w:rsidRPr="00731976" w:rsidR="00F700A9">
              <w:rPr>
                <w:rFonts w:asciiTheme="minorHAnsi" w:hAnsiTheme="minorHAnsi" w:cstheme="minorHAnsi"/>
                <w:sz w:val="22"/>
                <w:szCs w:val="22"/>
                <w:lang w:val="fr-FR"/>
              </w:rPr>
              <w:t>;</w:t>
            </w:r>
            <w:proofErr w:type="gramEnd"/>
          </w:p>
          <w:p w:rsidRPr="00731976" w:rsidR="00105602" w:rsidP="008E2917" w:rsidRDefault="00105602" w14:paraId="3C309F7D" w14:textId="597E25E6">
            <w:pPr>
              <w:rPr>
                <w:rFonts w:asciiTheme="minorHAnsi" w:hAnsiTheme="minorHAnsi" w:cstheme="minorHAnsi"/>
                <w:sz w:val="22"/>
                <w:szCs w:val="22"/>
                <w:lang w:val="fr-FR"/>
              </w:rPr>
            </w:pPr>
          </w:p>
        </w:tc>
      </w:tr>
      <w:tr w:rsidRPr="00C53EC3" w:rsidR="00105602" w:rsidTr="008E2917" w14:paraId="66439C62" w14:textId="77777777">
        <w:tc>
          <w:tcPr>
            <w:tcW w:w="4428" w:type="dxa"/>
          </w:tcPr>
          <w:p w:rsidRPr="00731976" w:rsidR="00105602" w:rsidP="00105602" w:rsidRDefault="001D4338" w14:paraId="070B9BD7" w14:textId="7CDF7DDC">
            <w:pPr>
              <w:rPr>
                <w:rFonts w:asciiTheme="minorHAnsi" w:hAnsiTheme="minorHAnsi" w:cstheme="minorHAnsi"/>
                <w:b/>
                <w:sz w:val="22"/>
                <w:szCs w:val="22"/>
              </w:rPr>
            </w:pPr>
            <w:proofErr w:type="gramStart"/>
            <w:r w:rsidRPr="00731976">
              <w:rPr>
                <w:rFonts w:asciiTheme="minorHAnsi" w:hAnsiTheme="minorHAnsi" w:cstheme="minorHAnsi"/>
                <w:b/>
                <w:sz w:val="22"/>
                <w:szCs w:val="22"/>
                <w:lang w:val="de-DE"/>
              </w:rPr>
              <w:t>VAM Funds</w:t>
            </w:r>
            <w:proofErr w:type="gramEnd"/>
            <w:r w:rsidRPr="00731976">
              <w:rPr>
                <w:rFonts w:asciiTheme="minorHAnsi" w:hAnsiTheme="minorHAnsi" w:cstheme="minorHAnsi"/>
                <w:b/>
                <w:sz w:val="22"/>
                <w:szCs w:val="22"/>
                <w:lang w:val="de-DE"/>
              </w:rPr>
              <w:t xml:space="preserve"> (Lux)</w:t>
            </w:r>
          </w:p>
        </w:tc>
        <w:tc>
          <w:tcPr>
            <w:tcW w:w="4456" w:type="dxa"/>
          </w:tcPr>
          <w:p w:rsidRPr="00731976" w:rsidR="00105602" w:rsidP="00105602" w:rsidRDefault="001D4338" w14:paraId="0A2466D0" w14:textId="18181FD3">
            <w:pPr>
              <w:jc w:val="left"/>
              <w:rPr>
                <w:rFonts w:asciiTheme="minorHAnsi" w:hAnsiTheme="minorHAnsi" w:cstheme="minorHAnsi"/>
                <w:sz w:val="22"/>
                <w:szCs w:val="22"/>
                <w:lang w:val="fr-CA"/>
              </w:rPr>
            </w:pPr>
            <w:r w:rsidRPr="00731976">
              <w:rPr>
                <w:rFonts w:asciiTheme="minorHAnsi" w:hAnsiTheme="minorHAnsi" w:cstheme="minorHAnsi"/>
                <w:sz w:val="22"/>
                <w:szCs w:val="22"/>
                <w:lang w:val="fr-FR"/>
              </w:rPr>
              <w:t>VAM Funds (Lux)</w:t>
            </w:r>
            <w:r w:rsidRPr="00731976" w:rsidR="00B368FC">
              <w:rPr>
                <w:rFonts w:asciiTheme="minorHAnsi" w:hAnsiTheme="minorHAnsi" w:cstheme="minorHAnsi"/>
                <w:sz w:val="22"/>
                <w:szCs w:val="22"/>
                <w:lang w:val="fr-FR"/>
              </w:rPr>
              <w:t xml:space="preserve">, </w:t>
            </w:r>
            <w:proofErr w:type="gramStart"/>
            <w:r w:rsidRPr="00731976" w:rsidR="00B368FC">
              <w:rPr>
                <w:rFonts w:asciiTheme="minorHAnsi" w:hAnsiTheme="minorHAnsi" w:cstheme="minorHAnsi"/>
                <w:sz w:val="22"/>
                <w:szCs w:val="22"/>
                <w:lang w:val="fr-FR"/>
              </w:rPr>
              <w:t>a</w:t>
            </w:r>
            <w:proofErr w:type="gramEnd"/>
            <w:r w:rsidRPr="00731976" w:rsidR="00B368FC">
              <w:rPr>
                <w:rFonts w:asciiTheme="minorHAnsi" w:hAnsiTheme="minorHAnsi" w:cstheme="minorHAnsi"/>
                <w:sz w:val="22"/>
                <w:szCs w:val="22"/>
                <w:lang w:val="fr-FR"/>
              </w:rPr>
              <w:t xml:space="preserve"> </w:t>
            </w:r>
            <w:r w:rsidRPr="00731976" w:rsidR="00105602">
              <w:rPr>
                <w:rFonts w:asciiTheme="minorHAnsi" w:hAnsiTheme="minorHAnsi" w:cstheme="minorHAnsi"/>
                <w:sz w:val="22"/>
                <w:szCs w:val="22"/>
                <w:lang w:val="fr-FR"/>
              </w:rPr>
              <w:t>Luxembourg-</w:t>
            </w:r>
            <w:proofErr w:type="spellStart"/>
            <w:r w:rsidRPr="00731976" w:rsidR="00105602">
              <w:rPr>
                <w:rFonts w:asciiTheme="minorHAnsi" w:hAnsiTheme="minorHAnsi" w:cstheme="minorHAnsi"/>
                <w:sz w:val="22"/>
                <w:szCs w:val="22"/>
                <w:lang w:val="fr-FR"/>
              </w:rPr>
              <w:t>domiciled</w:t>
            </w:r>
            <w:proofErr w:type="spellEnd"/>
            <w:r w:rsidRPr="00731976" w:rsidR="00105602">
              <w:rPr>
                <w:rFonts w:asciiTheme="minorHAnsi" w:hAnsiTheme="minorHAnsi" w:cstheme="minorHAnsi"/>
                <w:sz w:val="22"/>
                <w:szCs w:val="22"/>
                <w:lang w:val="fr-FR"/>
              </w:rPr>
              <w:t xml:space="preserve"> </w:t>
            </w:r>
            <w:r w:rsidRPr="00731976" w:rsidR="00105602">
              <w:rPr>
                <w:rFonts w:asciiTheme="minorHAnsi" w:hAnsiTheme="minorHAnsi" w:cstheme="minorHAnsi"/>
                <w:i/>
                <w:sz w:val="22"/>
                <w:szCs w:val="22"/>
                <w:lang w:val="fr-FR"/>
              </w:rPr>
              <w:t>société d'investissement à capital variable</w:t>
            </w:r>
            <w:r w:rsidRPr="00731976" w:rsidR="00105602">
              <w:rPr>
                <w:rFonts w:asciiTheme="minorHAnsi" w:hAnsiTheme="minorHAnsi" w:cstheme="minorHAnsi"/>
                <w:sz w:val="22"/>
                <w:szCs w:val="22"/>
                <w:lang w:val="fr-FR"/>
              </w:rPr>
              <w:t xml:space="preserve"> </w:t>
            </w:r>
            <w:proofErr w:type="spellStart"/>
            <w:r w:rsidRPr="00731976" w:rsidR="00105602">
              <w:rPr>
                <w:rFonts w:asciiTheme="minorHAnsi" w:hAnsiTheme="minorHAnsi" w:cstheme="minorHAnsi"/>
                <w:sz w:val="22"/>
                <w:szCs w:val="22"/>
                <w:lang w:val="fr-FR"/>
              </w:rPr>
              <w:t>established</w:t>
            </w:r>
            <w:proofErr w:type="spellEnd"/>
            <w:r w:rsidRPr="00731976" w:rsidR="00105602">
              <w:rPr>
                <w:rFonts w:asciiTheme="minorHAnsi" w:hAnsiTheme="minorHAnsi" w:cstheme="minorHAnsi"/>
                <w:sz w:val="22"/>
                <w:szCs w:val="22"/>
                <w:lang w:val="fr-FR"/>
              </w:rPr>
              <w:t xml:space="preserve"> as a </w:t>
            </w:r>
            <w:r w:rsidRPr="00731976" w:rsidR="00105602">
              <w:rPr>
                <w:rFonts w:asciiTheme="minorHAnsi" w:hAnsiTheme="minorHAnsi" w:cstheme="minorHAnsi"/>
                <w:i/>
                <w:sz w:val="22"/>
                <w:szCs w:val="22"/>
                <w:lang w:val="fr-FR"/>
              </w:rPr>
              <w:t>société anonyme</w:t>
            </w:r>
            <w:r w:rsidRPr="00731976" w:rsidR="00105602">
              <w:rPr>
                <w:rFonts w:asciiTheme="minorHAnsi" w:hAnsiTheme="minorHAnsi" w:cstheme="minorHAnsi"/>
                <w:sz w:val="22"/>
                <w:szCs w:val="22"/>
                <w:lang w:val="fr-FR"/>
              </w:rPr>
              <w:t>.</w:t>
            </w:r>
          </w:p>
          <w:p w:rsidRPr="00731976" w:rsidR="00105602" w:rsidP="008E2917" w:rsidRDefault="00105602" w14:paraId="63664A77" w14:textId="77777777">
            <w:pPr>
              <w:rPr>
                <w:rFonts w:asciiTheme="minorHAnsi" w:hAnsiTheme="minorHAnsi" w:cstheme="minorHAnsi"/>
                <w:sz w:val="22"/>
                <w:szCs w:val="22"/>
                <w:lang w:val="fr-LU"/>
              </w:rPr>
            </w:pPr>
          </w:p>
        </w:tc>
      </w:tr>
      <w:tr w:rsidRPr="004E4C21" w:rsidR="00F700A9" w:rsidTr="008E2917" w14:paraId="21AF54C3" w14:textId="77777777">
        <w:tc>
          <w:tcPr>
            <w:tcW w:w="4428" w:type="dxa"/>
          </w:tcPr>
          <w:p w:rsidRPr="00731976" w:rsidR="00F700A9" w:rsidP="008E2917" w:rsidRDefault="00F700A9" w14:paraId="21AA898B" w14:textId="5C15CC8A">
            <w:pPr>
              <w:rPr>
                <w:rFonts w:asciiTheme="minorHAnsi" w:hAnsiTheme="minorHAnsi" w:cstheme="minorHAnsi"/>
                <w:b/>
                <w:sz w:val="22"/>
                <w:szCs w:val="22"/>
              </w:rPr>
            </w:pPr>
            <w:r w:rsidRPr="00731976">
              <w:rPr>
                <w:rFonts w:asciiTheme="minorHAnsi" w:hAnsiTheme="minorHAnsi" w:cstheme="minorHAnsi"/>
                <w:b/>
                <w:sz w:val="22"/>
                <w:szCs w:val="22"/>
              </w:rPr>
              <w:t>Class</w:t>
            </w:r>
          </w:p>
        </w:tc>
        <w:tc>
          <w:tcPr>
            <w:tcW w:w="4456" w:type="dxa"/>
          </w:tcPr>
          <w:p w:rsidRPr="00731976" w:rsidR="00F700A9" w:rsidP="008E2917" w:rsidRDefault="00F700A9" w14:paraId="3EEE7D98" w14:textId="6E9F34D2">
            <w:pPr>
              <w:rPr>
                <w:rFonts w:asciiTheme="minorHAnsi" w:hAnsiTheme="minorHAnsi" w:cstheme="minorHAnsi"/>
                <w:sz w:val="22"/>
                <w:szCs w:val="22"/>
              </w:rPr>
            </w:pPr>
            <w:r w:rsidRPr="00731976">
              <w:rPr>
                <w:rFonts w:asciiTheme="minorHAnsi" w:hAnsiTheme="minorHAnsi" w:cstheme="minorHAnsi"/>
                <w:sz w:val="22"/>
                <w:szCs w:val="22"/>
              </w:rPr>
              <w:t xml:space="preserve">any class of shares of </w:t>
            </w:r>
            <w:r w:rsidRPr="00731976" w:rsidR="00BF3DB9">
              <w:rPr>
                <w:rFonts w:asciiTheme="minorHAnsi" w:hAnsiTheme="minorHAnsi" w:cstheme="minorHAnsi"/>
                <w:sz w:val="22"/>
                <w:szCs w:val="22"/>
              </w:rPr>
              <w:t xml:space="preserve">either Alquity SICAV or </w:t>
            </w:r>
            <w:r w:rsidR="00810360">
              <w:rPr>
                <w:rFonts w:asciiTheme="minorHAnsi" w:hAnsiTheme="minorHAnsi" w:cstheme="minorHAnsi"/>
                <w:sz w:val="22"/>
                <w:szCs w:val="22"/>
              </w:rPr>
              <w:t>VAM Funds (Lux</w:t>
            </w:r>
            <w:proofErr w:type="gramStart"/>
            <w:r w:rsidR="00810360">
              <w:rPr>
                <w:rFonts w:asciiTheme="minorHAnsi" w:hAnsiTheme="minorHAnsi" w:cstheme="minorHAnsi"/>
                <w:sz w:val="22"/>
                <w:szCs w:val="22"/>
              </w:rPr>
              <w:t>)</w:t>
            </w:r>
            <w:r w:rsidRPr="00731976">
              <w:rPr>
                <w:rFonts w:asciiTheme="minorHAnsi" w:hAnsiTheme="minorHAnsi" w:cstheme="minorHAnsi"/>
                <w:sz w:val="22"/>
                <w:szCs w:val="22"/>
              </w:rPr>
              <w:t>;</w:t>
            </w:r>
            <w:proofErr w:type="gramEnd"/>
          </w:p>
          <w:p w:rsidRPr="00731976" w:rsidR="00105602" w:rsidP="008E2917" w:rsidRDefault="00105602" w14:paraId="179A9E15" w14:textId="4164466C">
            <w:pPr>
              <w:rPr>
                <w:rFonts w:asciiTheme="minorHAnsi" w:hAnsiTheme="minorHAnsi" w:cstheme="minorHAnsi"/>
                <w:sz w:val="22"/>
                <w:szCs w:val="22"/>
              </w:rPr>
            </w:pPr>
          </w:p>
        </w:tc>
      </w:tr>
      <w:tr w:rsidRPr="004E4C21" w:rsidR="00F700A9" w:rsidTr="008E2917" w14:paraId="6B4C4ACC" w14:textId="77777777">
        <w:tc>
          <w:tcPr>
            <w:tcW w:w="4428" w:type="dxa"/>
          </w:tcPr>
          <w:p w:rsidRPr="00731976" w:rsidR="00F700A9" w:rsidP="008E2917" w:rsidRDefault="00F700A9" w14:paraId="47190AC6" w14:textId="77777777">
            <w:pPr>
              <w:rPr>
                <w:rFonts w:asciiTheme="minorHAnsi" w:hAnsiTheme="minorHAnsi" w:cstheme="minorHAnsi"/>
                <w:b/>
                <w:sz w:val="22"/>
                <w:szCs w:val="22"/>
              </w:rPr>
            </w:pPr>
            <w:r w:rsidRPr="00731976">
              <w:rPr>
                <w:rFonts w:asciiTheme="minorHAnsi" w:hAnsiTheme="minorHAnsi" w:cstheme="minorHAnsi"/>
                <w:b/>
                <w:sz w:val="22"/>
                <w:szCs w:val="22"/>
              </w:rPr>
              <w:t>Effective Date</w:t>
            </w:r>
          </w:p>
        </w:tc>
        <w:tc>
          <w:tcPr>
            <w:tcW w:w="4456" w:type="dxa"/>
          </w:tcPr>
          <w:p w:rsidRPr="00731976" w:rsidR="00F700A9" w:rsidP="008E2917" w:rsidRDefault="00F700A9" w14:paraId="0BC200A2" w14:textId="7B6A7B06">
            <w:pPr>
              <w:rPr>
                <w:rFonts w:asciiTheme="minorHAnsi" w:hAnsiTheme="minorHAnsi" w:cstheme="minorHAnsi"/>
                <w:sz w:val="22"/>
                <w:szCs w:val="22"/>
              </w:rPr>
            </w:pPr>
            <w:r w:rsidRPr="00731976">
              <w:rPr>
                <w:rFonts w:asciiTheme="minorHAnsi" w:hAnsiTheme="minorHAnsi" w:cstheme="minorHAnsi"/>
                <w:sz w:val="22"/>
                <w:szCs w:val="22"/>
              </w:rPr>
              <w:t xml:space="preserve">the effective date of the merger (expected to be </w:t>
            </w:r>
            <w:r w:rsidR="00A653D7">
              <w:rPr>
                <w:rFonts w:asciiTheme="minorHAnsi" w:hAnsiTheme="minorHAnsi" w:cstheme="minorHAnsi"/>
                <w:color w:val="000000"/>
                <w:sz w:val="22"/>
                <w:szCs w:val="22"/>
              </w:rPr>
              <w:t xml:space="preserve">13 </w:t>
            </w:r>
            <w:r w:rsidR="000D6053">
              <w:rPr>
                <w:rFonts w:asciiTheme="minorHAnsi" w:hAnsiTheme="minorHAnsi" w:cstheme="minorHAnsi"/>
                <w:color w:val="000000"/>
                <w:sz w:val="22"/>
                <w:szCs w:val="22"/>
              </w:rPr>
              <w:t xml:space="preserve">December 2024 at </w:t>
            </w:r>
            <w:r w:rsidRPr="00731976" w:rsidR="008C280B">
              <w:rPr>
                <w:rFonts w:asciiTheme="minorHAnsi" w:hAnsiTheme="minorHAnsi" w:cstheme="minorHAnsi"/>
                <w:sz w:val="22"/>
                <w:szCs w:val="22"/>
              </w:rPr>
              <w:t xml:space="preserve">23:59 </w:t>
            </w:r>
            <w:r w:rsidRPr="00731976">
              <w:rPr>
                <w:rFonts w:asciiTheme="minorHAnsi" w:hAnsiTheme="minorHAnsi" w:cstheme="minorHAnsi"/>
                <w:sz w:val="22"/>
                <w:szCs w:val="22"/>
              </w:rPr>
              <w:t xml:space="preserve">(Luxembourg time)) or such other time and/or date as may, prior to such other time and/or date, be </w:t>
            </w:r>
            <w:proofErr w:type="gramStart"/>
            <w:r w:rsidRPr="00731976">
              <w:rPr>
                <w:rFonts w:asciiTheme="minorHAnsi" w:hAnsiTheme="minorHAnsi" w:cstheme="minorHAnsi"/>
                <w:sz w:val="22"/>
                <w:szCs w:val="22"/>
              </w:rPr>
              <w:t>agreed;</w:t>
            </w:r>
            <w:proofErr w:type="gramEnd"/>
          </w:p>
          <w:p w:rsidRPr="00731976" w:rsidR="00F700A9" w:rsidP="008E2917" w:rsidRDefault="00F700A9" w14:paraId="2C9F033F" w14:textId="77777777">
            <w:pPr>
              <w:rPr>
                <w:rFonts w:asciiTheme="minorHAnsi" w:hAnsiTheme="minorHAnsi" w:cstheme="minorHAnsi"/>
                <w:sz w:val="22"/>
                <w:szCs w:val="22"/>
              </w:rPr>
            </w:pPr>
          </w:p>
        </w:tc>
      </w:tr>
      <w:tr w:rsidRPr="004E4C21" w:rsidR="0066669A" w:rsidTr="008E2917" w14:paraId="231FC2F4" w14:textId="77777777">
        <w:tc>
          <w:tcPr>
            <w:tcW w:w="4428" w:type="dxa"/>
          </w:tcPr>
          <w:p w:rsidRPr="00731976" w:rsidR="0066669A" w:rsidP="0066669A" w:rsidRDefault="0066669A" w14:paraId="05B266D9" w14:textId="2E035DEC">
            <w:pPr>
              <w:rPr>
                <w:rFonts w:asciiTheme="minorHAnsi" w:hAnsiTheme="minorHAnsi" w:cstheme="minorHAnsi"/>
                <w:b/>
                <w:sz w:val="22"/>
                <w:szCs w:val="22"/>
              </w:rPr>
            </w:pPr>
            <w:r w:rsidRPr="00731976">
              <w:rPr>
                <w:rFonts w:asciiTheme="minorHAnsi" w:hAnsiTheme="minorHAnsi" w:cstheme="minorHAnsi"/>
                <w:b/>
                <w:sz w:val="22"/>
                <w:szCs w:val="22"/>
              </w:rPr>
              <w:t>Independent Auditor</w:t>
            </w:r>
            <w:r w:rsidRPr="00731976">
              <w:rPr>
                <w:rFonts w:asciiTheme="minorHAnsi" w:hAnsiTheme="minorHAnsi" w:cstheme="minorHAnsi"/>
                <w:b/>
                <w:sz w:val="22"/>
                <w:szCs w:val="22"/>
              </w:rPr>
              <w:tab/>
            </w:r>
          </w:p>
          <w:p w:rsidRPr="00731976" w:rsidR="0066669A" w:rsidP="008E2917" w:rsidRDefault="0066669A" w14:paraId="2AB665A7" w14:textId="77777777">
            <w:pPr>
              <w:rPr>
                <w:rFonts w:asciiTheme="minorHAnsi" w:hAnsiTheme="minorHAnsi" w:cstheme="minorHAnsi"/>
                <w:b/>
                <w:sz w:val="22"/>
                <w:szCs w:val="22"/>
              </w:rPr>
            </w:pPr>
          </w:p>
        </w:tc>
        <w:tc>
          <w:tcPr>
            <w:tcW w:w="4456" w:type="dxa"/>
          </w:tcPr>
          <w:p w:rsidRPr="00731976" w:rsidR="0066669A" w:rsidP="008E2917" w:rsidRDefault="0066669A" w14:paraId="32668C43" w14:textId="1B192566">
            <w:pPr>
              <w:rPr>
                <w:rFonts w:asciiTheme="minorHAnsi" w:hAnsiTheme="minorHAnsi" w:cstheme="minorHAnsi"/>
                <w:sz w:val="22"/>
                <w:szCs w:val="22"/>
              </w:rPr>
            </w:pPr>
            <w:r w:rsidRPr="00731976">
              <w:rPr>
                <w:rFonts w:asciiTheme="minorHAnsi" w:hAnsiTheme="minorHAnsi" w:cstheme="minorHAnsi"/>
                <w:sz w:val="22"/>
                <w:szCs w:val="22"/>
              </w:rPr>
              <w:t xml:space="preserve">BDO Audit, </w:t>
            </w:r>
            <w:proofErr w:type="spellStart"/>
            <w:r w:rsidRPr="00731976">
              <w:rPr>
                <w:rFonts w:asciiTheme="minorHAnsi" w:hAnsiTheme="minorHAnsi" w:cstheme="minorHAnsi"/>
                <w:sz w:val="22"/>
                <w:szCs w:val="22"/>
              </w:rPr>
              <w:t>société</w:t>
            </w:r>
            <w:proofErr w:type="spellEnd"/>
            <w:r w:rsidRPr="00731976">
              <w:rPr>
                <w:rFonts w:asciiTheme="minorHAnsi" w:hAnsiTheme="minorHAnsi" w:cstheme="minorHAnsi"/>
                <w:sz w:val="22"/>
                <w:szCs w:val="22"/>
              </w:rPr>
              <w:t xml:space="preserve"> anonyme;</w:t>
            </w:r>
          </w:p>
        </w:tc>
      </w:tr>
      <w:tr w:rsidRPr="004E4C21" w:rsidR="00F700A9" w:rsidTr="008E2917" w14:paraId="67070CE7" w14:textId="77777777">
        <w:tc>
          <w:tcPr>
            <w:tcW w:w="4428" w:type="dxa"/>
          </w:tcPr>
          <w:p w:rsidRPr="00731976" w:rsidR="00F700A9" w:rsidP="008E2917" w:rsidRDefault="00F700A9" w14:paraId="348F075F" w14:textId="77777777">
            <w:pPr>
              <w:pStyle w:val="Body"/>
              <w:spacing w:after="0" w:line="240" w:lineRule="auto"/>
              <w:rPr>
                <w:rFonts w:asciiTheme="minorHAnsi" w:hAnsiTheme="minorHAnsi" w:cstheme="minorHAnsi"/>
                <w:b/>
                <w:sz w:val="22"/>
                <w:szCs w:val="22"/>
              </w:rPr>
            </w:pPr>
          </w:p>
        </w:tc>
        <w:tc>
          <w:tcPr>
            <w:tcW w:w="4456" w:type="dxa"/>
          </w:tcPr>
          <w:p w:rsidRPr="00731976" w:rsidR="00F700A9" w:rsidP="008E2917" w:rsidRDefault="00F700A9" w14:paraId="0D007EA4" w14:textId="1B5FB606">
            <w:pPr>
              <w:rPr>
                <w:rFonts w:asciiTheme="minorHAnsi" w:hAnsiTheme="minorHAnsi" w:cstheme="minorHAnsi"/>
                <w:sz w:val="22"/>
                <w:szCs w:val="22"/>
              </w:rPr>
            </w:pPr>
          </w:p>
        </w:tc>
      </w:tr>
      <w:tr w:rsidRPr="004E4C21" w:rsidR="00DA60A8" w:rsidTr="008E2917" w14:paraId="58DAB168" w14:textId="77777777">
        <w:tc>
          <w:tcPr>
            <w:tcW w:w="4428" w:type="dxa"/>
          </w:tcPr>
          <w:p w:rsidRPr="00731976" w:rsidR="00DA60A8" w:rsidP="00DA60A8" w:rsidRDefault="00DA60A8" w14:paraId="5D003BD5" w14:textId="65D5B687">
            <w:pPr>
              <w:pStyle w:val="Body"/>
              <w:spacing w:after="0" w:line="240" w:lineRule="auto"/>
              <w:rPr>
                <w:rFonts w:asciiTheme="minorHAnsi" w:hAnsiTheme="minorHAnsi" w:cstheme="minorHAnsi"/>
                <w:b/>
                <w:sz w:val="22"/>
                <w:szCs w:val="22"/>
              </w:rPr>
            </w:pPr>
            <w:r w:rsidRPr="00731976">
              <w:rPr>
                <w:rFonts w:asciiTheme="minorHAnsi" w:hAnsiTheme="minorHAnsi" w:cstheme="minorHAnsi"/>
                <w:b/>
                <w:sz w:val="22"/>
                <w:szCs w:val="22"/>
              </w:rPr>
              <w:t xml:space="preserve">Merger </w:t>
            </w:r>
          </w:p>
        </w:tc>
        <w:tc>
          <w:tcPr>
            <w:tcW w:w="4456" w:type="dxa"/>
          </w:tcPr>
          <w:p w:rsidRPr="00731976" w:rsidR="00DA60A8" w:rsidP="00DA60A8" w:rsidRDefault="00DA60A8" w14:paraId="67A05C77" w14:textId="6CBA438A">
            <w:pPr>
              <w:rPr>
                <w:rFonts w:asciiTheme="minorHAnsi" w:hAnsiTheme="minorHAnsi" w:cstheme="minorHAnsi"/>
                <w:color w:val="000000"/>
                <w:sz w:val="22"/>
                <w:szCs w:val="22"/>
              </w:rPr>
            </w:pPr>
            <w:r w:rsidRPr="00731976">
              <w:rPr>
                <w:rFonts w:asciiTheme="minorHAnsi" w:hAnsiTheme="minorHAnsi" w:cstheme="minorHAnsi"/>
                <w:color w:val="000000"/>
                <w:sz w:val="22"/>
                <w:szCs w:val="22"/>
              </w:rPr>
              <w:t xml:space="preserve">the merger of the </w:t>
            </w:r>
            <w:r w:rsidRPr="00731976" w:rsidR="007A5A9B">
              <w:rPr>
                <w:rFonts w:asciiTheme="minorHAnsi" w:hAnsiTheme="minorHAnsi" w:cstheme="minorHAnsi"/>
                <w:color w:val="000000"/>
                <w:sz w:val="22"/>
                <w:szCs w:val="22"/>
              </w:rPr>
              <w:t>Merging Sub-Fund</w:t>
            </w:r>
            <w:r w:rsidRPr="00731976">
              <w:rPr>
                <w:rFonts w:asciiTheme="minorHAnsi" w:hAnsiTheme="minorHAnsi" w:cstheme="minorHAnsi"/>
                <w:color w:val="000000"/>
                <w:sz w:val="22"/>
                <w:szCs w:val="22"/>
              </w:rPr>
              <w:t xml:space="preserve"> with the </w:t>
            </w:r>
            <w:r w:rsidRPr="00731976" w:rsidR="007A5A9B">
              <w:rPr>
                <w:rFonts w:asciiTheme="minorHAnsi" w:hAnsiTheme="minorHAnsi" w:cstheme="minorHAnsi"/>
                <w:color w:val="000000"/>
                <w:sz w:val="22"/>
                <w:szCs w:val="22"/>
              </w:rPr>
              <w:t>Receiving Sub-Fund</w:t>
            </w:r>
            <w:r w:rsidRPr="00731976">
              <w:rPr>
                <w:rFonts w:asciiTheme="minorHAnsi" w:hAnsiTheme="minorHAnsi" w:cstheme="minorHAnsi"/>
                <w:color w:val="000000"/>
                <w:sz w:val="22"/>
                <w:szCs w:val="22"/>
              </w:rPr>
              <w:t xml:space="preserve"> on the Effective </w:t>
            </w:r>
            <w:proofErr w:type="gramStart"/>
            <w:r w:rsidRPr="00731976">
              <w:rPr>
                <w:rFonts w:asciiTheme="minorHAnsi" w:hAnsiTheme="minorHAnsi" w:cstheme="minorHAnsi"/>
                <w:color w:val="000000"/>
                <w:sz w:val="22"/>
                <w:szCs w:val="22"/>
              </w:rPr>
              <w:t>Date;</w:t>
            </w:r>
            <w:proofErr w:type="gramEnd"/>
          </w:p>
          <w:p w:rsidRPr="00731976" w:rsidR="00DA60A8" w:rsidP="00DA60A8" w:rsidRDefault="00DA60A8" w14:paraId="6D044BBE" w14:textId="752A021F">
            <w:pPr>
              <w:rPr>
                <w:rFonts w:asciiTheme="minorHAnsi" w:hAnsiTheme="minorHAnsi" w:cstheme="minorHAnsi"/>
                <w:sz w:val="22"/>
                <w:szCs w:val="22"/>
              </w:rPr>
            </w:pPr>
          </w:p>
        </w:tc>
      </w:tr>
      <w:tr w:rsidRPr="004E4C21" w:rsidR="00DA60A8" w:rsidTr="008E2917" w14:paraId="1B8E9114" w14:textId="77777777">
        <w:tc>
          <w:tcPr>
            <w:tcW w:w="4428" w:type="dxa"/>
          </w:tcPr>
          <w:p w:rsidRPr="00731976" w:rsidR="00DA60A8" w:rsidP="00DA60A8" w:rsidRDefault="007A5A9B" w14:paraId="5CB82B4D" w14:textId="5BF3EF65">
            <w:pPr>
              <w:rPr>
                <w:rFonts w:asciiTheme="minorHAnsi" w:hAnsiTheme="minorHAnsi" w:cstheme="minorHAnsi"/>
                <w:b/>
                <w:sz w:val="22"/>
                <w:szCs w:val="22"/>
              </w:rPr>
            </w:pPr>
            <w:r w:rsidRPr="00731976">
              <w:rPr>
                <w:rFonts w:asciiTheme="minorHAnsi" w:hAnsiTheme="minorHAnsi" w:cstheme="minorHAnsi"/>
                <w:b/>
                <w:sz w:val="22"/>
                <w:szCs w:val="22"/>
              </w:rPr>
              <w:t>Merging Sub-Fund</w:t>
            </w:r>
          </w:p>
          <w:p w:rsidRPr="00731976" w:rsidR="00DA60A8" w:rsidP="00DA60A8" w:rsidRDefault="00DA60A8" w14:paraId="2062115A" w14:textId="77777777">
            <w:pPr>
              <w:rPr>
                <w:rFonts w:asciiTheme="minorHAnsi" w:hAnsiTheme="minorHAnsi" w:cstheme="minorHAnsi"/>
                <w:b/>
                <w:sz w:val="22"/>
                <w:szCs w:val="22"/>
              </w:rPr>
            </w:pPr>
          </w:p>
        </w:tc>
        <w:tc>
          <w:tcPr>
            <w:tcW w:w="4456" w:type="dxa"/>
          </w:tcPr>
          <w:p w:rsidRPr="00731976" w:rsidR="00DA60A8" w:rsidP="00DA60A8" w:rsidRDefault="00E03629" w14:paraId="6D405E25" w14:textId="21724F61">
            <w:pPr>
              <w:rPr>
                <w:rFonts w:asciiTheme="minorHAnsi" w:hAnsiTheme="minorHAnsi" w:cstheme="minorHAnsi"/>
                <w:color w:val="000000"/>
                <w:sz w:val="22"/>
                <w:szCs w:val="22"/>
              </w:rPr>
            </w:pPr>
            <w:r w:rsidRPr="00E03629">
              <w:rPr>
                <w:rFonts w:asciiTheme="minorHAnsi" w:hAnsiTheme="minorHAnsi" w:cstheme="minorHAnsi"/>
                <w:color w:val="000000"/>
                <w:sz w:val="22"/>
                <w:szCs w:val="22"/>
              </w:rPr>
              <w:t xml:space="preserve"> VAM Funds (Lux) – Emerging Markets Growth Fund</w:t>
            </w:r>
          </w:p>
          <w:p w:rsidRPr="00731976" w:rsidR="00DA60A8" w:rsidP="00DA60A8" w:rsidRDefault="00DA60A8" w14:paraId="596890F9" w14:textId="77777777">
            <w:pPr>
              <w:rPr>
                <w:rFonts w:asciiTheme="minorHAnsi" w:hAnsiTheme="minorHAnsi" w:cstheme="minorHAnsi"/>
                <w:sz w:val="22"/>
                <w:szCs w:val="22"/>
              </w:rPr>
            </w:pPr>
          </w:p>
        </w:tc>
      </w:tr>
      <w:tr w:rsidRPr="004E4C21" w:rsidR="00DA60A8" w:rsidTr="008E2917" w14:paraId="57AFF27F" w14:textId="77777777">
        <w:tc>
          <w:tcPr>
            <w:tcW w:w="4428" w:type="dxa"/>
          </w:tcPr>
          <w:p w:rsidRPr="00731976" w:rsidR="00DA60A8" w:rsidP="00DA60A8" w:rsidRDefault="007A5A9B" w14:paraId="66CD3EB2" w14:textId="4A893714">
            <w:pPr>
              <w:rPr>
                <w:rFonts w:asciiTheme="minorHAnsi" w:hAnsiTheme="minorHAnsi" w:cstheme="minorHAnsi"/>
                <w:b/>
                <w:sz w:val="22"/>
                <w:szCs w:val="22"/>
              </w:rPr>
            </w:pPr>
            <w:r w:rsidRPr="00731976">
              <w:rPr>
                <w:rFonts w:asciiTheme="minorHAnsi" w:hAnsiTheme="minorHAnsi" w:cstheme="minorHAnsi"/>
                <w:b/>
                <w:sz w:val="22"/>
                <w:szCs w:val="22"/>
              </w:rPr>
              <w:t>Merging Sub-Fund</w:t>
            </w:r>
            <w:r w:rsidRPr="00731976" w:rsidR="00DA60A8">
              <w:rPr>
                <w:rFonts w:asciiTheme="minorHAnsi" w:hAnsiTheme="minorHAnsi" w:cstheme="minorHAnsi"/>
                <w:b/>
                <w:sz w:val="22"/>
                <w:szCs w:val="22"/>
              </w:rPr>
              <w:t xml:space="preserve"> Depositary</w:t>
            </w:r>
          </w:p>
        </w:tc>
        <w:tc>
          <w:tcPr>
            <w:tcW w:w="4456" w:type="dxa"/>
          </w:tcPr>
          <w:p w:rsidRPr="00731976" w:rsidR="00DA60A8" w:rsidP="00DA60A8" w:rsidRDefault="007D134E" w14:paraId="0B9D287E" w14:textId="16F9B1CD">
            <w:pPr>
              <w:rPr>
                <w:rFonts w:asciiTheme="minorHAnsi" w:hAnsiTheme="minorHAnsi" w:cstheme="minorHAnsi"/>
                <w:color w:val="000000"/>
                <w:sz w:val="22"/>
                <w:szCs w:val="22"/>
                <w:lang w:val="fr-LU"/>
              </w:rPr>
            </w:pPr>
            <w:r w:rsidRPr="00731976">
              <w:rPr>
                <w:rFonts w:asciiTheme="minorHAnsi" w:hAnsiTheme="minorHAnsi" w:cstheme="minorHAnsi"/>
                <w:color w:val="000000"/>
                <w:sz w:val="22"/>
                <w:szCs w:val="22"/>
                <w:lang w:val="fr-LU"/>
              </w:rPr>
              <w:t xml:space="preserve">CACEIS Bank, Luxembourg </w:t>
            </w:r>
            <w:proofErr w:type="gramStart"/>
            <w:r w:rsidRPr="00731976">
              <w:rPr>
                <w:rFonts w:asciiTheme="minorHAnsi" w:hAnsiTheme="minorHAnsi" w:cstheme="minorHAnsi"/>
                <w:color w:val="000000"/>
                <w:sz w:val="22"/>
                <w:szCs w:val="22"/>
                <w:lang w:val="fr-LU"/>
              </w:rPr>
              <w:t>Branch</w:t>
            </w:r>
            <w:r w:rsidRPr="00731976" w:rsidR="00BF3DB9">
              <w:rPr>
                <w:rFonts w:asciiTheme="minorHAnsi" w:hAnsiTheme="minorHAnsi" w:cstheme="minorHAnsi"/>
                <w:color w:val="000000"/>
                <w:sz w:val="22"/>
                <w:szCs w:val="22"/>
                <w:lang w:val="fr-LU"/>
              </w:rPr>
              <w:t>;</w:t>
            </w:r>
            <w:proofErr w:type="gramEnd"/>
          </w:p>
          <w:p w:rsidRPr="00731976" w:rsidR="00DA60A8" w:rsidP="00DA60A8" w:rsidRDefault="00DA60A8" w14:paraId="6AEB15CB" w14:textId="77777777">
            <w:pPr>
              <w:rPr>
                <w:rFonts w:asciiTheme="minorHAnsi" w:hAnsiTheme="minorHAnsi" w:cstheme="minorHAnsi"/>
                <w:sz w:val="22"/>
                <w:szCs w:val="22"/>
                <w:lang w:val="fr-LU"/>
              </w:rPr>
            </w:pPr>
          </w:p>
        </w:tc>
      </w:tr>
      <w:tr w:rsidRPr="004E4C21" w:rsidR="00DA60A8" w:rsidTr="008E2917" w14:paraId="746F79BF" w14:textId="77777777">
        <w:tc>
          <w:tcPr>
            <w:tcW w:w="4428" w:type="dxa"/>
          </w:tcPr>
          <w:p w:rsidRPr="00731976" w:rsidR="00DA60A8" w:rsidP="00DA60A8" w:rsidRDefault="00DA60A8" w14:paraId="24F17FE2" w14:textId="77777777">
            <w:pPr>
              <w:rPr>
                <w:rFonts w:asciiTheme="minorHAnsi" w:hAnsiTheme="minorHAnsi" w:cstheme="minorHAnsi"/>
                <w:b/>
                <w:sz w:val="22"/>
                <w:szCs w:val="22"/>
              </w:rPr>
            </w:pPr>
            <w:r w:rsidRPr="00731976">
              <w:rPr>
                <w:rFonts w:asciiTheme="minorHAnsi" w:hAnsiTheme="minorHAnsi" w:cstheme="minorHAnsi"/>
                <w:b/>
                <w:sz w:val="22"/>
                <w:szCs w:val="22"/>
              </w:rPr>
              <w:t>New Shares</w:t>
            </w:r>
          </w:p>
          <w:p w:rsidRPr="00731976" w:rsidR="00DA60A8" w:rsidP="00DA60A8" w:rsidRDefault="00DA60A8" w14:paraId="5FC3C0A4" w14:textId="77777777">
            <w:pPr>
              <w:rPr>
                <w:rFonts w:asciiTheme="minorHAnsi" w:hAnsiTheme="minorHAnsi" w:cstheme="minorHAnsi"/>
                <w:b/>
                <w:sz w:val="22"/>
                <w:szCs w:val="22"/>
              </w:rPr>
            </w:pPr>
          </w:p>
        </w:tc>
        <w:tc>
          <w:tcPr>
            <w:tcW w:w="4456" w:type="dxa"/>
          </w:tcPr>
          <w:p w:rsidRPr="00731976" w:rsidR="00DA60A8" w:rsidP="00DA60A8" w:rsidRDefault="00DA60A8" w14:paraId="7B833178" w14:textId="1A473220">
            <w:pPr>
              <w:rPr>
                <w:rFonts w:asciiTheme="minorHAnsi" w:hAnsiTheme="minorHAnsi" w:cstheme="minorHAnsi"/>
                <w:sz w:val="22"/>
                <w:szCs w:val="22"/>
              </w:rPr>
            </w:pPr>
            <w:r w:rsidRPr="00731976">
              <w:rPr>
                <w:rFonts w:asciiTheme="minorHAnsi" w:hAnsiTheme="minorHAnsi" w:cstheme="minorHAnsi"/>
                <w:sz w:val="22"/>
                <w:szCs w:val="22"/>
              </w:rPr>
              <w:t xml:space="preserve">Shares of the appropriate Class in the </w:t>
            </w:r>
            <w:r w:rsidRPr="00731976" w:rsidR="007A5A9B">
              <w:rPr>
                <w:rFonts w:asciiTheme="minorHAnsi" w:hAnsiTheme="minorHAnsi" w:cstheme="minorHAnsi"/>
                <w:sz w:val="22"/>
                <w:szCs w:val="22"/>
              </w:rPr>
              <w:t>Receiving Sub-Fund</w:t>
            </w:r>
            <w:r w:rsidRPr="00731976">
              <w:rPr>
                <w:rFonts w:asciiTheme="minorHAnsi" w:hAnsiTheme="minorHAnsi" w:cstheme="minorHAnsi"/>
                <w:sz w:val="22"/>
                <w:szCs w:val="22"/>
              </w:rPr>
              <w:t xml:space="preserve"> to be issued pursuant to the </w:t>
            </w:r>
            <w:proofErr w:type="gramStart"/>
            <w:r w:rsidRPr="00731976">
              <w:rPr>
                <w:rFonts w:asciiTheme="minorHAnsi" w:hAnsiTheme="minorHAnsi" w:cstheme="minorHAnsi"/>
                <w:sz w:val="22"/>
                <w:szCs w:val="22"/>
              </w:rPr>
              <w:t>Merger;</w:t>
            </w:r>
            <w:proofErr w:type="gramEnd"/>
          </w:p>
          <w:p w:rsidRPr="00731976" w:rsidR="00DA60A8" w:rsidP="00DA60A8" w:rsidRDefault="00DA60A8" w14:paraId="730DD349" w14:textId="77777777">
            <w:pPr>
              <w:rPr>
                <w:rFonts w:asciiTheme="minorHAnsi" w:hAnsiTheme="minorHAnsi" w:cstheme="minorHAnsi"/>
                <w:sz w:val="22"/>
                <w:szCs w:val="22"/>
              </w:rPr>
            </w:pPr>
          </w:p>
        </w:tc>
      </w:tr>
      <w:tr w:rsidRPr="004E4C21" w:rsidR="00DA60A8" w:rsidTr="008E2917" w14:paraId="2278F698" w14:textId="77777777">
        <w:tc>
          <w:tcPr>
            <w:tcW w:w="4428" w:type="dxa"/>
          </w:tcPr>
          <w:p w:rsidRPr="00731976" w:rsidR="00DA60A8" w:rsidP="00DA60A8" w:rsidRDefault="007A5A9B" w14:paraId="575FB219" w14:textId="385AB504">
            <w:pPr>
              <w:rPr>
                <w:rFonts w:asciiTheme="minorHAnsi" w:hAnsiTheme="minorHAnsi" w:cstheme="minorHAnsi"/>
                <w:b/>
                <w:sz w:val="22"/>
                <w:szCs w:val="22"/>
              </w:rPr>
            </w:pPr>
            <w:r w:rsidRPr="00731976">
              <w:rPr>
                <w:rFonts w:asciiTheme="minorHAnsi" w:hAnsiTheme="minorHAnsi" w:cstheme="minorHAnsi"/>
                <w:b/>
                <w:sz w:val="22"/>
                <w:szCs w:val="22"/>
              </w:rPr>
              <w:t>Receiving Sub-Fund</w:t>
            </w:r>
          </w:p>
        </w:tc>
        <w:tc>
          <w:tcPr>
            <w:tcW w:w="4456" w:type="dxa"/>
          </w:tcPr>
          <w:p w:rsidRPr="00731976" w:rsidR="00DA60A8" w:rsidP="00DA60A8" w:rsidRDefault="00DA60A8" w14:paraId="77035601" w14:textId="20A5EFCE">
            <w:pPr>
              <w:rPr>
                <w:rFonts w:asciiTheme="minorHAnsi" w:hAnsiTheme="minorHAnsi" w:cstheme="minorHAnsi"/>
                <w:sz w:val="22"/>
                <w:szCs w:val="22"/>
              </w:rPr>
            </w:pPr>
            <w:r w:rsidRPr="00731976">
              <w:rPr>
                <w:rFonts w:asciiTheme="minorHAnsi" w:hAnsiTheme="minorHAnsi" w:cstheme="minorHAnsi"/>
                <w:color w:val="000000"/>
                <w:sz w:val="22"/>
                <w:szCs w:val="22"/>
              </w:rPr>
              <w:t xml:space="preserve">Alquity SICAV – </w:t>
            </w:r>
            <w:r w:rsidRPr="00731976" w:rsidR="007D134E">
              <w:rPr>
                <w:rFonts w:asciiTheme="minorHAnsi" w:hAnsiTheme="minorHAnsi" w:cstheme="minorHAnsi"/>
                <w:color w:val="000000"/>
                <w:sz w:val="22"/>
                <w:szCs w:val="22"/>
              </w:rPr>
              <w:t xml:space="preserve">Alquity </w:t>
            </w:r>
            <w:r w:rsidR="00E03629">
              <w:rPr>
                <w:rFonts w:asciiTheme="minorHAnsi" w:hAnsiTheme="minorHAnsi" w:cstheme="minorHAnsi"/>
                <w:color w:val="000000"/>
                <w:sz w:val="22"/>
                <w:szCs w:val="22"/>
              </w:rPr>
              <w:t>Future world Fund</w:t>
            </w:r>
          </w:p>
          <w:p w:rsidRPr="00731976" w:rsidR="00DA60A8" w:rsidP="00DA60A8" w:rsidRDefault="00DA60A8" w14:paraId="73F1E8B2" w14:textId="77777777">
            <w:pPr>
              <w:rPr>
                <w:rFonts w:asciiTheme="minorHAnsi" w:hAnsiTheme="minorHAnsi" w:cstheme="minorHAnsi"/>
                <w:sz w:val="22"/>
                <w:szCs w:val="22"/>
              </w:rPr>
            </w:pPr>
          </w:p>
        </w:tc>
      </w:tr>
      <w:tr w:rsidRPr="004E4C21" w:rsidR="00DA60A8" w:rsidTr="008E2917" w14:paraId="7B804878" w14:textId="77777777">
        <w:tc>
          <w:tcPr>
            <w:tcW w:w="4428" w:type="dxa"/>
          </w:tcPr>
          <w:p w:rsidRPr="00731976" w:rsidR="00DA60A8" w:rsidP="00DA60A8" w:rsidRDefault="007A5A9B" w14:paraId="3F271DF7" w14:textId="3133A940">
            <w:pPr>
              <w:rPr>
                <w:rFonts w:asciiTheme="minorHAnsi" w:hAnsiTheme="minorHAnsi" w:cstheme="minorHAnsi"/>
                <w:b/>
                <w:sz w:val="22"/>
                <w:szCs w:val="22"/>
              </w:rPr>
            </w:pPr>
            <w:r w:rsidRPr="00731976">
              <w:rPr>
                <w:rFonts w:asciiTheme="minorHAnsi" w:hAnsiTheme="minorHAnsi" w:cstheme="minorHAnsi"/>
                <w:b/>
                <w:sz w:val="22"/>
                <w:szCs w:val="22"/>
              </w:rPr>
              <w:t>Receiving Sub-Fund</w:t>
            </w:r>
            <w:r w:rsidRPr="00731976" w:rsidR="00DA60A8">
              <w:rPr>
                <w:rFonts w:asciiTheme="minorHAnsi" w:hAnsiTheme="minorHAnsi" w:cstheme="minorHAnsi"/>
                <w:b/>
                <w:sz w:val="22"/>
                <w:szCs w:val="22"/>
              </w:rPr>
              <w:t xml:space="preserve"> Depositary</w:t>
            </w:r>
          </w:p>
        </w:tc>
        <w:tc>
          <w:tcPr>
            <w:tcW w:w="4456" w:type="dxa"/>
          </w:tcPr>
          <w:p w:rsidRPr="00731976" w:rsidR="00DA60A8" w:rsidP="00DA60A8" w:rsidRDefault="00DA60A8" w14:paraId="4BA21C9E" w14:textId="6F79C7A1">
            <w:pPr>
              <w:rPr>
                <w:rFonts w:asciiTheme="minorHAnsi" w:hAnsiTheme="minorHAnsi" w:cstheme="minorHAnsi"/>
                <w:sz w:val="22"/>
                <w:szCs w:val="22"/>
              </w:rPr>
            </w:pPr>
            <w:proofErr w:type="spellStart"/>
            <w:r w:rsidRPr="00731976">
              <w:rPr>
                <w:rFonts w:asciiTheme="minorHAnsi" w:hAnsiTheme="minorHAnsi" w:cstheme="minorHAnsi"/>
                <w:color w:val="000000"/>
                <w:sz w:val="22"/>
                <w:szCs w:val="22"/>
              </w:rPr>
              <w:t>Caceis</w:t>
            </w:r>
            <w:proofErr w:type="spellEnd"/>
            <w:r w:rsidRPr="00731976">
              <w:rPr>
                <w:rFonts w:asciiTheme="minorHAnsi" w:hAnsiTheme="minorHAnsi" w:cstheme="minorHAnsi"/>
                <w:color w:val="000000"/>
                <w:sz w:val="22"/>
                <w:szCs w:val="22"/>
              </w:rPr>
              <w:t xml:space="preserve"> Bank, Luxembourg </w:t>
            </w:r>
            <w:proofErr w:type="gramStart"/>
            <w:r w:rsidRPr="00731976">
              <w:rPr>
                <w:rFonts w:asciiTheme="minorHAnsi" w:hAnsiTheme="minorHAnsi" w:cstheme="minorHAnsi"/>
                <w:color w:val="000000"/>
                <w:sz w:val="22"/>
                <w:szCs w:val="22"/>
              </w:rPr>
              <w:t>Branch;</w:t>
            </w:r>
            <w:proofErr w:type="gramEnd"/>
            <w:r w:rsidRPr="00731976">
              <w:rPr>
                <w:rFonts w:asciiTheme="minorHAnsi" w:hAnsiTheme="minorHAnsi" w:cstheme="minorHAnsi"/>
                <w:color w:val="000000"/>
                <w:sz w:val="22"/>
                <w:szCs w:val="22"/>
              </w:rPr>
              <w:t xml:space="preserve"> </w:t>
            </w:r>
          </w:p>
          <w:p w:rsidRPr="00731976" w:rsidR="00DA60A8" w:rsidP="00DA60A8" w:rsidRDefault="00DA60A8" w14:paraId="5AB56213" w14:textId="77777777">
            <w:pPr>
              <w:rPr>
                <w:rFonts w:asciiTheme="minorHAnsi" w:hAnsiTheme="minorHAnsi" w:cstheme="minorHAnsi"/>
                <w:color w:val="000000"/>
                <w:sz w:val="22"/>
                <w:szCs w:val="22"/>
              </w:rPr>
            </w:pPr>
          </w:p>
        </w:tc>
      </w:tr>
      <w:tr w:rsidRPr="004E4C21" w:rsidR="00DA60A8" w:rsidTr="008E2917" w14:paraId="34A1B363" w14:textId="77777777">
        <w:tc>
          <w:tcPr>
            <w:tcW w:w="4428" w:type="dxa"/>
          </w:tcPr>
          <w:p w:rsidRPr="00731976" w:rsidR="00DA60A8" w:rsidP="00DA60A8" w:rsidRDefault="00DA60A8" w14:paraId="0F971B4B" w14:textId="40C0EA87">
            <w:pPr>
              <w:rPr>
                <w:rFonts w:asciiTheme="minorHAnsi" w:hAnsiTheme="minorHAnsi" w:cstheme="minorHAnsi"/>
                <w:b/>
                <w:sz w:val="22"/>
                <w:szCs w:val="22"/>
              </w:rPr>
            </w:pPr>
            <w:r w:rsidRPr="00731976">
              <w:rPr>
                <w:rFonts w:asciiTheme="minorHAnsi" w:hAnsiTheme="minorHAnsi" w:cstheme="minorHAnsi"/>
                <w:b/>
                <w:sz w:val="22"/>
                <w:szCs w:val="22"/>
              </w:rPr>
              <w:t>Share</w:t>
            </w:r>
            <w:r w:rsidRPr="00731976" w:rsidR="00C33D90">
              <w:rPr>
                <w:rFonts w:asciiTheme="minorHAnsi" w:hAnsiTheme="minorHAnsi" w:cstheme="minorHAnsi"/>
                <w:b/>
                <w:sz w:val="22"/>
                <w:szCs w:val="22"/>
              </w:rPr>
              <w:t xml:space="preserve"> or Shares</w:t>
            </w:r>
          </w:p>
          <w:p w:rsidRPr="00731976" w:rsidR="00DA60A8" w:rsidP="00DA60A8" w:rsidRDefault="00DA60A8" w14:paraId="32FECF4F" w14:textId="77777777">
            <w:pPr>
              <w:rPr>
                <w:rFonts w:asciiTheme="minorHAnsi" w:hAnsiTheme="minorHAnsi" w:cstheme="minorHAnsi"/>
                <w:sz w:val="22"/>
                <w:szCs w:val="22"/>
              </w:rPr>
            </w:pPr>
          </w:p>
        </w:tc>
        <w:tc>
          <w:tcPr>
            <w:tcW w:w="4456" w:type="dxa"/>
          </w:tcPr>
          <w:p w:rsidRPr="00731976" w:rsidR="00DA60A8" w:rsidP="00DA60A8" w:rsidRDefault="00DA60A8" w14:paraId="7356416F" w14:textId="18ED719A">
            <w:pPr>
              <w:rPr>
                <w:rFonts w:asciiTheme="minorHAnsi" w:hAnsiTheme="minorHAnsi" w:cstheme="minorHAnsi"/>
                <w:sz w:val="22"/>
                <w:szCs w:val="22"/>
              </w:rPr>
            </w:pPr>
            <w:r w:rsidRPr="00731976">
              <w:rPr>
                <w:rFonts w:asciiTheme="minorHAnsi" w:hAnsiTheme="minorHAnsi" w:cstheme="minorHAnsi"/>
                <w:sz w:val="22"/>
                <w:szCs w:val="22"/>
              </w:rPr>
              <w:t>any share of any Class o</w:t>
            </w:r>
            <w:r w:rsidRPr="00731976" w:rsidR="00BF3DB9">
              <w:rPr>
                <w:rFonts w:asciiTheme="minorHAnsi" w:hAnsiTheme="minorHAnsi" w:cstheme="minorHAnsi"/>
                <w:sz w:val="22"/>
                <w:szCs w:val="22"/>
              </w:rPr>
              <w:t xml:space="preserve">f either Alquity SICAV or </w:t>
            </w:r>
            <w:r w:rsidRPr="00731976" w:rsidR="007D134E">
              <w:rPr>
                <w:rFonts w:asciiTheme="minorHAnsi" w:hAnsiTheme="minorHAnsi" w:cstheme="minorHAnsi"/>
                <w:sz w:val="22"/>
                <w:szCs w:val="22"/>
              </w:rPr>
              <w:t>VAM Funds (Lux)</w:t>
            </w:r>
            <w:r w:rsidRPr="00731976">
              <w:rPr>
                <w:rFonts w:asciiTheme="minorHAnsi" w:hAnsiTheme="minorHAnsi" w:cstheme="minorHAnsi"/>
                <w:sz w:val="22"/>
                <w:szCs w:val="22"/>
              </w:rPr>
              <w:t>.</w:t>
            </w:r>
          </w:p>
          <w:p w:rsidRPr="00731976" w:rsidR="00DA60A8" w:rsidP="00DA60A8" w:rsidRDefault="00DA60A8" w14:paraId="7463D2FA" w14:textId="48C61D13">
            <w:pPr>
              <w:rPr>
                <w:rFonts w:asciiTheme="minorHAnsi" w:hAnsiTheme="minorHAnsi" w:cstheme="minorHAnsi"/>
                <w:sz w:val="22"/>
                <w:szCs w:val="22"/>
              </w:rPr>
            </w:pPr>
          </w:p>
        </w:tc>
      </w:tr>
    </w:tbl>
    <w:p w:rsidRPr="00731976" w:rsidR="00F44D34" w:rsidP="00F44D34" w:rsidRDefault="00F44D34" w14:paraId="1EC83168" w14:textId="77777777">
      <w:pPr>
        <w:jc w:val="right"/>
        <w:rPr>
          <w:rFonts w:asciiTheme="minorHAnsi" w:hAnsiTheme="minorHAnsi" w:cstheme="minorHAnsi"/>
          <w:b/>
          <w:sz w:val="22"/>
          <w:szCs w:val="22"/>
          <w:lang w:eastAsia="en-US"/>
        </w:rPr>
      </w:pPr>
      <w:r w:rsidRPr="00731976">
        <w:rPr>
          <w:rFonts w:asciiTheme="minorHAnsi" w:hAnsiTheme="minorHAnsi" w:cstheme="minorHAnsi"/>
          <w:b/>
          <w:sz w:val="22"/>
          <w:szCs w:val="22"/>
          <w:lang w:eastAsia="en-US"/>
        </w:rPr>
        <w:br w:type="page"/>
      </w:r>
    </w:p>
    <w:p w:rsidRPr="00731976" w:rsidR="00F44D34" w:rsidP="00F44D34" w:rsidRDefault="00F44D34" w14:paraId="011C33A2" w14:textId="0BB211B7">
      <w:pPr>
        <w:pageBreakBefore/>
        <w:jc w:val="center"/>
        <w:rPr>
          <w:rFonts w:asciiTheme="minorHAnsi" w:hAnsiTheme="minorHAnsi" w:cstheme="minorHAnsi"/>
          <w:b/>
          <w:sz w:val="22"/>
          <w:szCs w:val="22"/>
          <w:lang w:eastAsia="en-US"/>
        </w:rPr>
      </w:pPr>
      <w:r w:rsidRPr="00731976">
        <w:rPr>
          <w:rFonts w:asciiTheme="minorHAnsi" w:hAnsiTheme="minorHAnsi" w:cstheme="minorHAnsi"/>
          <w:b/>
          <w:sz w:val="22"/>
          <w:szCs w:val="22"/>
          <w:lang w:eastAsia="en-US"/>
        </w:rPr>
        <w:lastRenderedPageBreak/>
        <w:t xml:space="preserve">Appendix </w:t>
      </w:r>
      <w:r w:rsidR="00FA287B">
        <w:rPr>
          <w:rFonts w:asciiTheme="minorHAnsi" w:hAnsiTheme="minorHAnsi" w:cstheme="minorHAnsi"/>
          <w:b/>
          <w:sz w:val="22"/>
          <w:szCs w:val="22"/>
          <w:lang w:eastAsia="en-US"/>
        </w:rPr>
        <w:t>2</w:t>
      </w:r>
    </w:p>
    <w:p w:rsidRPr="00731976" w:rsidR="00F44D34" w:rsidP="00F44D34" w:rsidRDefault="00F44D34" w14:paraId="31F580F4" w14:textId="77777777">
      <w:pPr>
        <w:jc w:val="center"/>
        <w:rPr>
          <w:rFonts w:asciiTheme="minorHAnsi" w:hAnsiTheme="minorHAnsi" w:cstheme="minorHAnsi"/>
          <w:b/>
          <w:sz w:val="22"/>
          <w:szCs w:val="22"/>
          <w:lang w:eastAsia="en-US"/>
        </w:rPr>
      </w:pPr>
    </w:p>
    <w:p w:rsidRPr="00731976" w:rsidR="00F44D34" w:rsidP="00F44D34" w:rsidRDefault="00F44D34" w14:paraId="3260E5D6" w14:textId="77777777">
      <w:pPr>
        <w:jc w:val="center"/>
        <w:rPr>
          <w:rFonts w:asciiTheme="minorHAnsi" w:hAnsiTheme="minorHAnsi" w:cstheme="minorHAnsi"/>
          <w:b/>
          <w:sz w:val="22"/>
          <w:szCs w:val="22"/>
          <w:lang w:eastAsia="en-US"/>
        </w:rPr>
      </w:pPr>
    </w:p>
    <w:p w:rsidRPr="00731976" w:rsidR="00F44D34" w:rsidP="00F44D34" w:rsidRDefault="00F44D34" w14:paraId="4A5E15E0" w14:textId="6077559C">
      <w:pPr>
        <w:jc w:val="center"/>
        <w:rPr>
          <w:rFonts w:asciiTheme="minorHAnsi" w:hAnsiTheme="minorHAnsi" w:cstheme="minorHAnsi"/>
          <w:b/>
          <w:sz w:val="22"/>
          <w:szCs w:val="22"/>
          <w:lang w:eastAsia="en-US"/>
        </w:rPr>
      </w:pPr>
      <w:r w:rsidRPr="00731976">
        <w:rPr>
          <w:rFonts w:asciiTheme="minorHAnsi" w:hAnsiTheme="minorHAnsi" w:cstheme="minorHAnsi"/>
          <w:b/>
          <w:sz w:val="22"/>
          <w:szCs w:val="22"/>
          <w:lang w:eastAsia="en-US"/>
        </w:rPr>
        <w:t xml:space="preserve">Merger of VAM Funds (Lux) </w:t>
      </w:r>
      <w:proofErr w:type="gramStart"/>
      <w:r w:rsidRPr="00731976">
        <w:rPr>
          <w:rFonts w:asciiTheme="minorHAnsi" w:hAnsiTheme="minorHAnsi" w:cstheme="minorHAnsi"/>
          <w:b/>
          <w:sz w:val="22"/>
          <w:szCs w:val="22"/>
          <w:lang w:eastAsia="en-US"/>
        </w:rPr>
        <w:t>-  VAM</w:t>
      </w:r>
      <w:proofErr w:type="gramEnd"/>
      <w:r w:rsidRPr="00731976">
        <w:rPr>
          <w:rFonts w:asciiTheme="minorHAnsi" w:hAnsiTheme="minorHAnsi" w:cstheme="minorHAnsi"/>
          <w:b/>
          <w:sz w:val="22"/>
          <w:szCs w:val="22"/>
          <w:lang w:eastAsia="en-US"/>
        </w:rPr>
        <w:t xml:space="preserve"> Emerging Markets Growth</w:t>
      </w:r>
      <w:r w:rsidR="00AD0697">
        <w:rPr>
          <w:rFonts w:asciiTheme="minorHAnsi" w:hAnsiTheme="minorHAnsi" w:cstheme="minorHAnsi"/>
          <w:b/>
          <w:sz w:val="22"/>
          <w:szCs w:val="22"/>
          <w:lang w:eastAsia="en-US"/>
        </w:rPr>
        <w:t xml:space="preserve"> Fund</w:t>
      </w:r>
      <w:r w:rsidRPr="00731976">
        <w:rPr>
          <w:rFonts w:asciiTheme="minorHAnsi" w:hAnsiTheme="minorHAnsi" w:cstheme="minorHAnsi"/>
          <w:b/>
          <w:sz w:val="22"/>
          <w:szCs w:val="22"/>
          <w:lang w:eastAsia="en-US"/>
        </w:rPr>
        <w:t xml:space="preserve"> with Alquity SICAV - Alquity Future World</w:t>
      </w:r>
      <w:r w:rsidR="00AD0697">
        <w:rPr>
          <w:rFonts w:asciiTheme="minorHAnsi" w:hAnsiTheme="minorHAnsi" w:cstheme="minorHAnsi"/>
          <w:b/>
          <w:sz w:val="22"/>
          <w:szCs w:val="22"/>
          <w:lang w:eastAsia="en-US"/>
        </w:rPr>
        <w:t xml:space="preserve"> Fund </w:t>
      </w:r>
      <w:r w:rsidRPr="00731976">
        <w:rPr>
          <w:rFonts w:asciiTheme="minorHAnsi" w:hAnsiTheme="minorHAnsi" w:cstheme="minorHAnsi"/>
          <w:b/>
          <w:sz w:val="22"/>
          <w:szCs w:val="22"/>
          <w:lang w:eastAsia="en-US"/>
        </w:rPr>
        <w:t>– Comparison of the Principal Features</w:t>
      </w:r>
    </w:p>
    <w:p w:rsidRPr="00731976" w:rsidR="00F44D34" w:rsidP="00F44D34" w:rsidRDefault="00F44D34" w14:paraId="167A0D61" w14:textId="77777777">
      <w:pPr>
        <w:rPr>
          <w:rFonts w:asciiTheme="minorHAnsi" w:hAnsiTheme="minorHAnsi" w:cstheme="minorHAnsi"/>
          <w:b/>
          <w:sz w:val="22"/>
          <w:szCs w:val="22"/>
          <w:lang w:eastAsia="en-US"/>
        </w:rPr>
      </w:pPr>
    </w:p>
    <w:p w:rsidRPr="00731976" w:rsidR="00F44D34" w:rsidP="00F44D34" w:rsidRDefault="00F44D34" w14:paraId="635FF9AF" w14:textId="77777777">
      <w:pPr>
        <w:rPr>
          <w:rFonts w:asciiTheme="minorHAnsi" w:hAnsiTheme="minorHAnsi" w:cstheme="minorHAnsi"/>
          <w:bCs/>
          <w:i/>
          <w:iCs/>
          <w:sz w:val="22"/>
          <w:szCs w:val="22"/>
          <w:lang w:eastAsia="en-US"/>
        </w:rPr>
      </w:pPr>
      <w:r w:rsidRPr="00731976">
        <w:rPr>
          <w:rFonts w:asciiTheme="minorHAnsi" w:hAnsiTheme="minorHAnsi" w:cstheme="minorHAnsi"/>
          <w:bCs/>
          <w:i/>
          <w:iCs/>
          <w:sz w:val="22"/>
          <w:szCs w:val="22"/>
          <w:lang w:eastAsia="en-US"/>
        </w:rPr>
        <w:t>Unless otherwise defined, capitalised terms used in this Appendix 4 shall have the same meaning given to them in the prospectuses of VAM) and Alquity, as applicable.</w:t>
      </w:r>
    </w:p>
    <w:p w:rsidRPr="00731976" w:rsidR="00F44D34" w:rsidP="00F44D34" w:rsidRDefault="00F44D34" w14:paraId="73FA984C" w14:textId="77777777">
      <w:pPr>
        <w:jc w:val="right"/>
        <w:rPr>
          <w:rFonts w:eastAsia="Calibri" w:asciiTheme="minorHAnsi" w:hAnsiTheme="minorHAnsi" w:cstheme="minorHAnsi"/>
          <w:sz w:val="22"/>
          <w:szCs w:val="22"/>
          <w:lang w:eastAsia="en-US"/>
        </w:rPr>
      </w:pPr>
    </w:p>
    <w:tbl>
      <w:tblPr>
        <w:tblW w:w="10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253"/>
        <w:gridCol w:w="15"/>
      </w:tblGrid>
      <w:tr w:rsidRPr="004E4C21" w:rsidR="00F44D34" w:rsidTr="007C056D" w14:paraId="441489C0" w14:textId="77777777">
        <w:trPr>
          <w:gridAfter w:val="1"/>
          <w:wAfter w:w="15" w:type="dxa"/>
          <w:trHeight w:val="783"/>
          <w:tblHeader/>
          <w:jc w:val="center"/>
        </w:trPr>
        <w:tc>
          <w:tcPr>
            <w:tcW w:w="2189" w:type="dxa"/>
            <w:shd w:val="clear" w:color="auto" w:fill="7F7F7F"/>
          </w:tcPr>
          <w:p w:rsidRPr="00731976" w:rsidR="00F44D34" w:rsidP="00F44D34" w:rsidRDefault="00F44D34" w14:paraId="6FB180C3" w14:textId="77777777">
            <w:pPr>
              <w:spacing w:before="40" w:after="40" w:line="360" w:lineRule="auto"/>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Feature</w:t>
            </w:r>
            <w:proofErr w:type="spellEnd"/>
          </w:p>
        </w:tc>
        <w:tc>
          <w:tcPr>
            <w:tcW w:w="3827" w:type="dxa"/>
            <w:tcBorders>
              <w:bottom w:val="single" w:color="auto" w:sz="4" w:space="0"/>
            </w:tcBorders>
            <w:shd w:val="clear" w:color="auto" w:fill="7F7F7F"/>
          </w:tcPr>
          <w:p w:rsidRPr="00731976" w:rsidR="00F44D34" w:rsidP="00F44D34" w:rsidRDefault="00F44D34" w14:paraId="07A59B13"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731976">
              <w:rPr>
                <w:rFonts w:eastAsia="Calibri" w:asciiTheme="minorHAnsi" w:hAnsiTheme="minorHAnsi" w:cstheme="minorHAnsi"/>
                <w:b/>
                <w:bCs/>
                <w:spacing w:val="5"/>
                <w:sz w:val="22"/>
                <w:szCs w:val="22"/>
                <w:lang w:val="fr-FR" w:eastAsia="en-US"/>
              </w:rPr>
              <w:t>Merging</w:t>
            </w:r>
            <w:proofErr w:type="spellEnd"/>
            <w:r w:rsidRPr="00731976">
              <w:rPr>
                <w:rFonts w:eastAsia="Calibri" w:asciiTheme="minorHAnsi" w:hAnsiTheme="minorHAnsi" w:cstheme="minorHAnsi"/>
                <w:b/>
                <w:bCs/>
                <w:spacing w:val="5"/>
                <w:sz w:val="22"/>
                <w:szCs w:val="22"/>
                <w:lang w:val="fr-FR" w:eastAsia="en-US"/>
              </w:rPr>
              <w:t xml:space="preserve"> </w:t>
            </w:r>
            <w:proofErr w:type="spellStart"/>
            <w:r w:rsidRPr="00731976">
              <w:rPr>
                <w:rFonts w:eastAsia="Calibri" w:asciiTheme="minorHAnsi" w:hAnsiTheme="minorHAnsi" w:cstheme="minorHAnsi"/>
                <w:b/>
                <w:bCs/>
                <w:spacing w:val="5"/>
                <w:sz w:val="22"/>
                <w:szCs w:val="22"/>
                <w:lang w:val="fr-FR" w:eastAsia="en-US"/>
              </w:rPr>
              <w:t>Sub</w:t>
            </w:r>
            <w:proofErr w:type="spellEnd"/>
            <w:r w:rsidRPr="00731976">
              <w:rPr>
                <w:rFonts w:eastAsia="Calibri" w:asciiTheme="minorHAnsi" w:hAnsiTheme="minorHAnsi" w:cstheme="minorHAnsi"/>
                <w:b/>
                <w:bCs/>
                <w:spacing w:val="5"/>
                <w:sz w:val="22"/>
                <w:szCs w:val="22"/>
                <w:lang w:val="fr-FR" w:eastAsia="en-US"/>
              </w:rPr>
              <w:t>-Fund</w:t>
            </w:r>
          </w:p>
        </w:tc>
        <w:tc>
          <w:tcPr>
            <w:tcW w:w="4253" w:type="dxa"/>
            <w:tcBorders>
              <w:bottom w:val="single" w:color="auto" w:sz="4" w:space="0"/>
            </w:tcBorders>
            <w:shd w:val="clear" w:color="auto" w:fill="7F7F7F"/>
          </w:tcPr>
          <w:p w:rsidRPr="00731976" w:rsidR="00F44D34" w:rsidP="00F44D34" w:rsidRDefault="00F44D34" w14:paraId="773AE078"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731976">
              <w:rPr>
                <w:rFonts w:eastAsia="Calibri" w:asciiTheme="minorHAnsi" w:hAnsiTheme="minorHAnsi" w:cstheme="minorHAnsi"/>
                <w:b/>
                <w:bCs/>
                <w:spacing w:val="5"/>
                <w:sz w:val="22"/>
                <w:szCs w:val="22"/>
                <w:lang w:val="fr-FR" w:eastAsia="en-US"/>
              </w:rPr>
              <w:t>Receiving</w:t>
            </w:r>
            <w:proofErr w:type="spellEnd"/>
            <w:r w:rsidRPr="00731976">
              <w:rPr>
                <w:rFonts w:eastAsia="Calibri" w:asciiTheme="minorHAnsi" w:hAnsiTheme="minorHAnsi" w:cstheme="minorHAnsi"/>
                <w:b/>
                <w:bCs/>
                <w:spacing w:val="5"/>
                <w:sz w:val="22"/>
                <w:szCs w:val="22"/>
                <w:lang w:val="fr-FR" w:eastAsia="en-US"/>
              </w:rPr>
              <w:t xml:space="preserve"> </w:t>
            </w:r>
            <w:proofErr w:type="spellStart"/>
            <w:r w:rsidRPr="00731976">
              <w:rPr>
                <w:rFonts w:eastAsia="Calibri" w:asciiTheme="minorHAnsi" w:hAnsiTheme="minorHAnsi" w:cstheme="minorHAnsi"/>
                <w:b/>
                <w:bCs/>
                <w:spacing w:val="5"/>
                <w:sz w:val="22"/>
                <w:szCs w:val="22"/>
                <w:lang w:val="fr-FR" w:eastAsia="en-US"/>
              </w:rPr>
              <w:t>Sub</w:t>
            </w:r>
            <w:proofErr w:type="spellEnd"/>
            <w:r w:rsidRPr="00731976">
              <w:rPr>
                <w:rFonts w:eastAsia="Calibri" w:asciiTheme="minorHAnsi" w:hAnsiTheme="minorHAnsi" w:cstheme="minorHAnsi"/>
                <w:b/>
                <w:bCs/>
                <w:spacing w:val="5"/>
                <w:sz w:val="22"/>
                <w:szCs w:val="22"/>
                <w:lang w:val="fr-FR" w:eastAsia="en-US"/>
              </w:rPr>
              <w:t>-Fund</w:t>
            </w:r>
          </w:p>
          <w:p w:rsidRPr="00731976" w:rsidR="00F44D34" w:rsidP="00F44D34" w:rsidRDefault="00F44D34" w14:paraId="28C2611E"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4E4C21" w:rsidR="00F44D34" w:rsidTr="007C056D" w14:paraId="26FAFDF6" w14:textId="77777777">
        <w:trPr>
          <w:gridAfter w:val="1"/>
          <w:wAfter w:w="15" w:type="dxa"/>
          <w:jc w:val="center"/>
        </w:trPr>
        <w:tc>
          <w:tcPr>
            <w:tcW w:w="2189" w:type="dxa"/>
          </w:tcPr>
          <w:p w:rsidRPr="00731976" w:rsidR="00F44D34" w:rsidP="00F44D34" w:rsidRDefault="00F44D34" w14:paraId="62F55A06"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Fund </w:t>
            </w:r>
          </w:p>
        </w:tc>
        <w:tc>
          <w:tcPr>
            <w:tcW w:w="3827" w:type="dxa"/>
          </w:tcPr>
          <w:p w:rsidRPr="00731976" w:rsidR="00F44D34" w:rsidP="00F44D34" w:rsidRDefault="00F44D34" w14:paraId="798B78C2" w14:textId="25DBA49C">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color w:val="000000"/>
                <w:sz w:val="22"/>
                <w:szCs w:val="22"/>
                <w:lang w:eastAsia="en-US"/>
              </w:rPr>
              <w:t>VAM Funds (Lux) – Emerging Markets Growth</w:t>
            </w:r>
            <w:r w:rsidR="00AD0697">
              <w:rPr>
                <w:rFonts w:eastAsia="Calibri" w:asciiTheme="minorHAnsi" w:hAnsiTheme="minorHAnsi" w:cstheme="minorHAnsi"/>
                <w:color w:val="000000"/>
                <w:sz w:val="22"/>
                <w:szCs w:val="22"/>
                <w:lang w:eastAsia="en-US"/>
              </w:rPr>
              <w:t xml:space="preserve"> Fund</w:t>
            </w:r>
          </w:p>
        </w:tc>
        <w:tc>
          <w:tcPr>
            <w:tcW w:w="4253" w:type="dxa"/>
          </w:tcPr>
          <w:p w:rsidRPr="00731976" w:rsidR="00F44D34" w:rsidP="00F44D34" w:rsidRDefault="00F44D34" w14:paraId="76A4AFD9" w14:textId="70974061">
            <w:pPr>
              <w:jc w:val="left"/>
              <w:rPr>
                <w:rFonts w:eastAsia="Calibri" w:asciiTheme="minorHAnsi" w:hAnsiTheme="minorHAnsi" w:cstheme="minorHAnsi"/>
                <w:sz w:val="22"/>
                <w:szCs w:val="22"/>
                <w:lang w:val="en-IE" w:eastAsia="en-US"/>
              </w:rPr>
            </w:pPr>
            <w:r w:rsidRPr="00731976">
              <w:rPr>
                <w:rFonts w:eastAsia="Calibri" w:asciiTheme="minorHAnsi" w:hAnsiTheme="minorHAnsi" w:cstheme="minorHAnsi"/>
                <w:color w:val="000000"/>
                <w:sz w:val="22"/>
                <w:szCs w:val="22"/>
                <w:lang w:eastAsia="en-US"/>
              </w:rPr>
              <w:t>Alquity SICAV – Alquity Future World</w:t>
            </w:r>
            <w:r w:rsidR="00AD0697">
              <w:rPr>
                <w:rFonts w:eastAsia="Calibri" w:asciiTheme="minorHAnsi" w:hAnsiTheme="minorHAnsi" w:cstheme="minorHAnsi"/>
                <w:color w:val="000000"/>
                <w:sz w:val="22"/>
                <w:szCs w:val="22"/>
                <w:lang w:eastAsia="en-US"/>
              </w:rPr>
              <w:t xml:space="preserve"> Fund</w:t>
            </w:r>
          </w:p>
        </w:tc>
      </w:tr>
      <w:tr w:rsidRPr="004E4C21" w:rsidR="00F44D34" w:rsidTr="007C056D" w14:paraId="584618D6" w14:textId="77777777">
        <w:trPr>
          <w:gridAfter w:val="1"/>
          <w:wAfter w:w="15" w:type="dxa"/>
          <w:jc w:val="center"/>
        </w:trPr>
        <w:tc>
          <w:tcPr>
            <w:tcW w:w="2189" w:type="dxa"/>
          </w:tcPr>
          <w:p w:rsidRPr="00731976" w:rsidR="00F44D34" w:rsidP="00F44D34" w:rsidRDefault="00F44D34" w14:paraId="05ED9007"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Type of Fund</w:t>
            </w:r>
          </w:p>
        </w:tc>
        <w:tc>
          <w:tcPr>
            <w:tcW w:w="3827" w:type="dxa"/>
          </w:tcPr>
          <w:p w:rsidRPr="00731976" w:rsidR="00F44D34" w:rsidP="00F44D34" w:rsidRDefault="00F44D34" w14:paraId="05BAFED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UCITS</w:t>
            </w:r>
          </w:p>
        </w:tc>
        <w:tc>
          <w:tcPr>
            <w:tcW w:w="4253" w:type="dxa"/>
          </w:tcPr>
          <w:p w:rsidRPr="00731976" w:rsidR="00F44D34" w:rsidP="00F44D34" w:rsidRDefault="00F44D34" w14:paraId="71D01F1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UCITS</w:t>
            </w:r>
          </w:p>
        </w:tc>
      </w:tr>
      <w:tr w:rsidRPr="004E4C21" w:rsidR="00F44D34" w:rsidTr="007C056D" w14:paraId="6D24C55C" w14:textId="77777777">
        <w:trPr>
          <w:gridAfter w:val="1"/>
          <w:wAfter w:w="15" w:type="dxa"/>
          <w:jc w:val="center"/>
        </w:trPr>
        <w:tc>
          <w:tcPr>
            <w:tcW w:w="2189" w:type="dxa"/>
          </w:tcPr>
          <w:p w:rsidRPr="00731976" w:rsidR="00F44D34" w:rsidP="00F44D34" w:rsidRDefault="00F44D34" w14:paraId="1433B544"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Company</w:t>
            </w:r>
            <w:proofErr w:type="spellEnd"/>
          </w:p>
        </w:tc>
        <w:tc>
          <w:tcPr>
            <w:tcW w:w="3827" w:type="dxa"/>
          </w:tcPr>
          <w:p w:rsidRPr="00731976" w:rsidR="00F44D34" w:rsidP="00F44D34" w:rsidRDefault="00F44D34" w14:paraId="1EBDBE48"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color w:val="000000"/>
                <w:sz w:val="22"/>
                <w:szCs w:val="22"/>
                <w:lang w:val="fr-FR" w:eastAsia="en-US"/>
              </w:rPr>
              <w:t xml:space="preserve">VAM Funds (Lux) </w:t>
            </w:r>
          </w:p>
        </w:tc>
        <w:tc>
          <w:tcPr>
            <w:tcW w:w="4253" w:type="dxa"/>
          </w:tcPr>
          <w:p w:rsidRPr="00731976" w:rsidR="00F44D34" w:rsidP="00F44D34" w:rsidRDefault="00F44D34" w14:paraId="70399C0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color w:val="000000"/>
                <w:sz w:val="22"/>
                <w:szCs w:val="22"/>
                <w:lang w:val="fr-FR" w:eastAsia="en-US"/>
              </w:rPr>
              <w:t>Alquity SICAV</w:t>
            </w:r>
          </w:p>
        </w:tc>
      </w:tr>
      <w:tr w:rsidRPr="004E4C21" w:rsidR="00F44D34" w:rsidTr="007C056D" w14:paraId="39E1675F" w14:textId="77777777">
        <w:trPr>
          <w:gridAfter w:val="1"/>
          <w:wAfter w:w="15" w:type="dxa"/>
          <w:jc w:val="center"/>
        </w:trPr>
        <w:tc>
          <w:tcPr>
            <w:tcW w:w="2189" w:type="dxa"/>
          </w:tcPr>
          <w:p w:rsidRPr="00731976" w:rsidR="00F44D34" w:rsidP="00F44D34" w:rsidRDefault="00F44D34" w14:paraId="36B4596D"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Depositary</w:t>
            </w:r>
            <w:proofErr w:type="spellEnd"/>
          </w:p>
        </w:tc>
        <w:tc>
          <w:tcPr>
            <w:tcW w:w="3827" w:type="dxa"/>
          </w:tcPr>
          <w:p w:rsidRPr="00731976" w:rsidR="00F44D34" w:rsidP="00F44D34" w:rsidRDefault="00F44D34" w14:paraId="3FD77FF1"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en-US" w:eastAsia="en-US"/>
              </w:rPr>
              <w:t>CACEIS Investor Services Bank S.A.</w:t>
            </w:r>
          </w:p>
        </w:tc>
        <w:tc>
          <w:tcPr>
            <w:tcW w:w="4253" w:type="dxa"/>
          </w:tcPr>
          <w:p w:rsidRPr="00731976" w:rsidR="00F44D34" w:rsidP="00F44D34" w:rsidRDefault="00F44D34" w14:paraId="4954161E"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de-DE" w:eastAsia="en-US"/>
              </w:rPr>
              <w:t>CACEIS Bank, Luxembourg Branch</w:t>
            </w:r>
          </w:p>
        </w:tc>
      </w:tr>
      <w:tr w:rsidRPr="004E4C21" w:rsidR="00F44D34" w:rsidTr="007C056D" w14:paraId="38CCEDEB" w14:textId="77777777">
        <w:trPr>
          <w:gridAfter w:val="1"/>
          <w:wAfter w:w="15" w:type="dxa"/>
          <w:jc w:val="center"/>
        </w:trPr>
        <w:tc>
          <w:tcPr>
            <w:tcW w:w="2189" w:type="dxa"/>
          </w:tcPr>
          <w:p w:rsidRPr="00731976" w:rsidR="00F44D34" w:rsidP="00F44D34" w:rsidRDefault="00F44D34" w14:paraId="174785A0"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Dealing</w:t>
            </w:r>
            <w:proofErr w:type="spellEnd"/>
          </w:p>
        </w:tc>
        <w:tc>
          <w:tcPr>
            <w:tcW w:w="3827" w:type="dxa"/>
          </w:tcPr>
          <w:p w:rsidRPr="00731976" w:rsidR="00F44D34" w:rsidP="00F44D34" w:rsidRDefault="00F44D34" w14:paraId="2DDE03FF"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Daily</w:t>
            </w:r>
          </w:p>
        </w:tc>
        <w:tc>
          <w:tcPr>
            <w:tcW w:w="4253" w:type="dxa"/>
          </w:tcPr>
          <w:p w:rsidRPr="00731976" w:rsidR="00F44D34" w:rsidP="00F44D34" w:rsidRDefault="00F44D34" w14:paraId="394C224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eastAsia="en-US"/>
              </w:rPr>
              <w:t>Daily</w:t>
            </w:r>
          </w:p>
        </w:tc>
      </w:tr>
      <w:tr w:rsidRPr="004E4C21" w:rsidR="00F44D34" w:rsidTr="007C056D" w14:paraId="21361068" w14:textId="77777777">
        <w:trPr>
          <w:gridAfter w:val="1"/>
          <w:wAfter w:w="15" w:type="dxa"/>
          <w:jc w:val="center"/>
        </w:trPr>
        <w:tc>
          <w:tcPr>
            <w:tcW w:w="2189" w:type="dxa"/>
          </w:tcPr>
          <w:p w:rsidRPr="00731976" w:rsidR="00F44D34" w:rsidP="00F44D34" w:rsidRDefault="00F44D34" w14:paraId="28D01335"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Valuation Day</w:t>
            </w:r>
          </w:p>
        </w:tc>
        <w:tc>
          <w:tcPr>
            <w:tcW w:w="3827" w:type="dxa"/>
          </w:tcPr>
          <w:p w:rsidRPr="00731976" w:rsidR="00F44D34" w:rsidP="00F44D34" w:rsidRDefault="00F44D34" w14:paraId="517DB2FE"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Daily</w:t>
            </w:r>
          </w:p>
        </w:tc>
        <w:tc>
          <w:tcPr>
            <w:tcW w:w="4253" w:type="dxa"/>
          </w:tcPr>
          <w:p w:rsidRPr="00731976" w:rsidR="00F44D34" w:rsidP="00F44D34" w:rsidRDefault="00F44D34" w14:paraId="5E4892D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eastAsia="en-US"/>
              </w:rPr>
              <w:t>Daily</w:t>
            </w:r>
          </w:p>
        </w:tc>
      </w:tr>
      <w:tr w:rsidRPr="004E4C21" w:rsidR="00F44D34" w:rsidTr="007C056D" w14:paraId="0C8977ED" w14:textId="77777777">
        <w:trPr>
          <w:gridAfter w:val="1"/>
          <w:wAfter w:w="15" w:type="dxa"/>
          <w:trHeight w:val="513"/>
          <w:jc w:val="center"/>
        </w:trPr>
        <w:tc>
          <w:tcPr>
            <w:tcW w:w="2189" w:type="dxa"/>
          </w:tcPr>
          <w:p w:rsidRPr="00731976" w:rsidR="00F44D34" w:rsidP="00F44D34" w:rsidRDefault="00F44D34" w14:paraId="32203881"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Investment Objective and Policy </w:t>
            </w:r>
          </w:p>
        </w:tc>
        <w:tc>
          <w:tcPr>
            <w:tcW w:w="3827" w:type="dxa"/>
          </w:tcPr>
          <w:p w:rsidRPr="00731976" w:rsidR="00F44D34" w:rsidP="00F44D34" w:rsidRDefault="00F44D34" w14:paraId="192474B9" w14:textId="77777777">
            <w:pPr>
              <w:spacing w:before="40"/>
              <w:jc w:val="left"/>
              <w:rPr>
                <w:rFonts w:eastAsia="Calibri" w:asciiTheme="minorHAnsi" w:hAnsiTheme="minorHAnsi" w:cstheme="minorHAnsi"/>
                <w:sz w:val="22"/>
                <w:szCs w:val="22"/>
                <w:lang w:val="en-US" w:eastAsia="en-US"/>
              </w:rPr>
            </w:pPr>
            <w:r w:rsidRPr="00731976">
              <w:rPr>
                <w:rFonts w:eastAsia="Calibri" w:asciiTheme="minorHAnsi" w:hAnsiTheme="minorHAnsi" w:cstheme="minorHAnsi"/>
                <w:sz w:val="22"/>
                <w:szCs w:val="22"/>
                <w:lang w:val="en-US" w:eastAsia="en-US"/>
              </w:rPr>
              <w:t xml:space="preserve">The investment objective of the Compartment is to achieve capital appreciation over each full market cycle. To achieve this objective the Compartment will gain exposure, directly or indirectly, to unleveraged portfolio of equity securities, or collective investments whose underlying assets comprise, of companies in emerging markets and frontier markets. The Compartment may invest in companies with a wide range of market </w:t>
            </w:r>
            <w:proofErr w:type="spellStart"/>
            <w:r w:rsidRPr="00731976">
              <w:rPr>
                <w:rFonts w:eastAsia="Calibri" w:asciiTheme="minorHAnsi" w:hAnsiTheme="minorHAnsi" w:cstheme="minorHAnsi"/>
                <w:sz w:val="22"/>
                <w:szCs w:val="22"/>
                <w:lang w:val="en-US" w:eastAsia="en-US"/>
              </w:rPr>
              <w:t>capitalisations</w:t>
            </w:r>
            <w:proofErr w:type="spellEnd"/>
            <w:r w:rsidRPr="00731976">
              <w:rPr>
                <w:rFonts w:eastAsia="Calibri" w:asciiTheme="minorHAnsi" w:hAnsiTheme="minorHAnsi" w:cstheme="minorHAnsi"/>
                <w:sz w:val="22"/>
                <w:szCs w:val="22"/>
                <w:lang w:val="en-US" w:eastAsia="en-US"/>
              </w:rPr>
              <w:t xml:space="preserve"> and with limited operating histories. </w:t>
            </w:r>
          </w:p>
          <w:p w:rsidRPr="00731976" w:rsidR="00F44D34" w:rsidP="00F44D34" w:rsidRDefault="00F44D34" w14:paraId="269E981A"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color w:val="000000"/>
                <w:sz w:val="22"/>
                <w:szCs w:val="22"/>
                <w:lang w:val="en-US"/>
              </w:rPr>
              <w:t xml:space="preserve">The Compartment may invest directly up to 10% of its net assets in China A-Shares through the Shanghai-Hong Kong Stock Connect, Shenzhen – Hong Kong Stock Connect (the "Stock Connect"). A detailed description of the Stock Connect programs as well as risks linked thereto can be found under section "Specific Stock Connect risks" in section "Risks of Investment" in the main part of this Prospectus. </w:t>
            </w:r>
          </w:p>
          <w:p w:rsidRPr="00731976" w:rsidR="00F44D34" w:rsidP="00F44D34" w:rsidRDefault="00F44D34" w14:paraId="2D3DEE72"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color w:val="000000"/>
                <w:sz w:val="22"/>
                <w:szCs w:val="22"/>
                <w:lang w:val="en-US"/>
              </w:rPr>
              <w:t xml:space="preserve">The Compartment may invest more than 10% of its net assets in units of UCITS or other UCIs. </w:t>
            </w:r>
          </w:p>
          <w:p w:rsidRPr="00731976" w:rsidR="00F44D34" w:rsidP="00F44D34" w:rsidRDefault="00F44D34" w14:paraId="3BF14C74"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color w:val="000000"/>
                <w:sz w:val="22"/>
                <w:szCs w:val="22"/>
                <w:lang w:val="en-US"/>
              </w:rPr>
              <w:lastRenderedPageBreak/>
              <w:t xml:space="preserve">Subject to the limits set out in the investment restrictions, the Compartment may also hold ancillary liquid assets for treasury purposes. </w:t>
            </w:r>
          </w:p>
          <w:p w:rsidRPr="00731976" w:rsidR="00F44D34" w:rsidP="00F44D34" w:rsidRDefault="00F44D34" w14:paraId="330ECB18"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color w:val="000000"/>
                <w:sz w:val="22"/>
                <w:szCs w:val="22"/>
                <w:lang w:val="en-US"/>
              </w:rPr>
              <w:t xml:space="preserve">Subject to the limits set out in the investment restrictions, the Compartment may also invest in short-term fixed income instruments, bank deposits, money market instruments and money market funds </w:t>
            </w:r>
            <w:proofErr w:type="gramStart"/>
            <w:r w:rsidRPr="00731976">
              <w:rPr>
                <w:rFonts w:eastAsia="Calibri" w:asciiTheme="minorHAnsi" w:hAnsiTheme="minorHAnsi" w:cstheme="minorHAnsi"/>
                <w:color w:val="000000"/>
                <w:sz w:val="22"/>
                <w:szCs w:val="22"/>
                <w:lang w:val="en-US"/>
              </w:rPr>
              <w:t>in order to</w:t>
            </w:r>
            <w:proofErr w:type="gramEnd"/>
            <w:r w:rsidRPr="00731976">
              <w:rPr>
                <w:rFonts w:eastAsia="Calibri" w:asciiTheme="minorHAnsi" w:hAnsiTheme="minorHAnsi" w:cstheme="minorHAnsi"/>
                <w:color w:val="000000"/>
                <w:sz w:val="22"/>
                <w:szCs w:val="22"/>
                <w:lang w:val="en-US"/>
              </w:rPr>
              <w:t xml:space="preserve"> achieve its investment goals, for treasury purposes and in case of </w:t>
            </w:r>
            <w:proofErr w:type="spellStart"/>
            <w:r w:rsidRPr="00731976">
              <w:rPr>
                <w:rFonts w:eastAsia="Calibri" w:asciiTheme="minorHAnsi" w:hAnsiTheme="minorHAnsi" w:cstheme="minorHAnsi"/>
                <w:color w:val="000000"/>
                <w:sz w:val="22"/>
                <w:szCs w:val="22"/>
                <w:lang w:val="en-US"/>
              </w:rPr>
              <w:t>unfavourable</w:t>
            </w:r>
            <w:proofErr w:type="spellEnd"/>
            <w:r w:rsidRPr="00731976">
              <w:rPr>
                <w:rFonts w:eastAsia="Calibri" w:asciiTheme="minorHAnsi" w:hAnsiTheme="minorHAnsi" w:cstheme="minorHAnsi"/>
                <w:color w:val="000000"/>
                <w:sz w:val="22"/>
                <w:szCs w:val="22"/>
                <w:lang w:val="en-US"/>
              </w:rPr>
              <w:t xml:space="preserve"> market conditions. For defensive purposes, the Compartment may invest up to 100% of its net assets in these instruments on a temporary basis. </w:t>
            </w:r>
          </w:p>
          <w:p w:rsidRPr="00731976" w:rsidR="00F44D34" w:rsidP="00F44D34" w:rsidRDefault="00F44D34" w14:paraId="59922019"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bCs/>
                <w:color w:val="000000"/>
                <w:sz w:val="22"/>
                <w:szCs w:val="22"/>
                <w:lang w:val="en-US"/>
              </w:rPr>
              <w:t xml:space="preserve">The Compartment will invest in securities of issuers of emerging countries and investors should be aware that such investments are more speculative and subject to greater risk than those in securities of issuers of developed countries. Emerging and frontier markets may be volatile and illiquid and the investments of the Compartment in such markets may be subject to significant delays in settlement. The risk of significant fluctuations in the Net Asset Value and of the suspension of redemptions in the Compartment may be higher than for Compartments investing in major world markets. In addition, there may be a higher than usual risk of political, economic, </w:t>
            </w:r>
            <w:proofErr w:type="gramStart"/>
            <w:r w:rsidRPr="00731976">
              <w:rPr>
                <w:rFonts w:eastAsia="Calibri" w:asciiTheme="minorHAnsi" w:hAnsiTheme="minorHAnsi" w:cstheme="minorHAnsi"/>
                <w:bCs/>
                <w:color w:val="000000"/>
                <w:sz w:val="22"/>
                <w:szCs w:val="22"/>
                <w:lang w:val="en-US"/>
              </w:rPr>
              <w:t>social</w:t>
            </w:r>
            <w:proofErr w:type="gramEnd"/>
            <w:r w:rsidRPr="00731976">
              <w:rPr>
                <w:rFonts w:eastAsia="Calibri" w:asciiTheme="minorHAnsi" w:hAnsiTheme="minorHAnsi" w:cstheme="minorHAnsi"/>
                <w:bCs/>
                <w:color w:val="000000"/>
                <w:sz w:val="22"/>
                <w:szCs w:val="22"/>
                <w:lang w:val="en-US"/>
              </w:rPr>
              <w:t xml:space="preserve"> and religious instability and adverse changes in government regulations</w:t>
            </w:r>
            <w:r w:rsidRPr="00731976">
              <w:rPr>
                <w:rFonts w:eastAsia="Calibri" w:asciiTheme="minorHAnsi" w:hAnsiTheme="minorHAnsi" w:cstheme="minorHAnsi"/>
                <w:b/>
                <w:bCs/>
                <w:color w:val="000000"/>
                <w:sz w:val="22"/>
                <w:szCs w:val="22"/>
                <w:lang w:val="en-US"/>
              </w:rPr>
              <w:t xml:space="preserve"> </w:t>
            </w:r>
            <w:r w:rsidRPr="00731976">
              <w:rPr>
                <w:rFonts w:eastAsia="Calibri" w:asciiTheme="minorHAnsi" w:hAnsiTheme="minorHAnsi" w:cstheme="minorHAnsi"/>
                <w:bCs/>
                <w:color w:val="000000"/>
                <w:sz w:val="22"/>
                <w:szCs w:val="22"/>
                <w:lang w:val="en-US"/>
              </w:rPr>
              <w:t xml:space="preserve">and laws in less developed or emerging markets. The assets of the Compartment, as well as the income derived therefrom, may also be </w:t>
            </w:r>
            <w:proofErr w:type="gramStart"/>
            <w:r w:rsidRPr="00731976">
              <w:rPr>
                <w:rFonts w:eastAsia="Calibri" w:asciiTheme="minorHAnsi" w:hAnsiTheme="minorHAnsi" w:cstheme="minorHAnsi"/>
                <w:bCs/>
                <w:color w:val="000000"/>
                <w:sz w:val="22"/>
                <w:szCs w:val="22"/>
                <w:lang w:val="en-US"/>
              </w:rPr>
              <w:t>affected  unfavorably</w:t>
            </w:r>
            <w:proofErr w:type="gramEnd"/>
            <w:r w:rsidRPr="00731976">
              <w:rPr>
                <w:rFonts w:eastAsia="Calibri" w:asciiTheme="minorHAnsi" w:hAnsiTheme="minorHAnsi" w:cstheme="minorHAnsi"/>
                <w:bCs/>
                <w:color w:val="000000"/>
                <w:sz w:val="22"/>
                <w:szCs w:val="22"/>
                <w:lang w:val="en-US"/>
              </w:rPr>
              <w:t xml:space="preserve"> by fluctuations in currency rates and exchange control and tax regulations and consequently the Net Asset Value of the Compartment's Shares may be subject to significant volatility. Some of these markets may </w:t>
            </w:r>
            <w:r w:rsidRPr="00731976">
              <w:rPr>
                <w:rFonts w:eastAsia="Calibri" w:asciiTheme="minorHAnsi" w:hAnsiTheme="minorHAnsi" w:cstheme="minorHAnsi"/>
                <w:bCs/>
                <w:color w:val="000000"/>
                <w:sz w:val="22"/>
                <w:szCs w:val="22"/>
                <w:lang w:val="en-US"/>
              </w:rPr>
              <w:lastRenderedPageBreak/>
              <w:t xml:space="preserve">not be subject to accounting, auditing and financial reporting standards and practices comparable to those of more developed countries and the securities markets of such markets may be subject to unexpected closure. In addition, there may be less government supervision, legal regulation and less </w:t>
            </w:r>
            <w:proofErr w:type="gramStart"/>
            <w:r w:rsidRPr="00731976">
              <w:rPr>
                <w:rFonts w:eastAsia="Calibri" w:asciiTheme="minorHAnsi" w:hAnsiTheme="minorHAnsi" w:cstheme="minorHAnsi"/>
                <w:bCs/>
                <w:color w:val="000000"/>
                <w:sz w:val="22"/>
                <w:szCs w:val="22"/>
                <w:lang w:val="en-US"/>
              </w:rPr>
              <w:t>well defined</w:t>
            </w:r>
            <w:proofErr w:type="gramEnd"/>
            <w:r w:rsidRPr="00731976">
              <w:rPr>
                <w:rFonts w:eastAsia="Calibri" w:asciiTheme="minorHAnsi" w:hAnsiTheme="minorHAnsi" w:cstheme="minorHAnsi"/>
                <w:bCs/>
                <w:color w:val="000000"/>
                <w:sz w:val="22"/>
                <w:szCs w:val="22"/>
                <w:lang w:val="en-US"/>
              </w:rPr>
              <w:t xml:space="preserve"> tax laws and procedures than in countries with more developed securities markets. There are no specific limitations on the percentage of assets that may be invested in the securities of issuers located in any one country at a given time; the Compartment may invest significant assets in any single emerging market country. </w:t>
            </w:r>
          </w:p>
          <w:p w:rsidRPr="00731976" w:rsidR="00F44D34" w:rsidP="00F44D34" w:rsidRDefault="00F44D34" w14:paraId="55E64AC1" w14:textId="77777777">
            <w:pPr>
              <w:autoSpaceDE w:val="0"/>
              <w:autoSpaceDN w:val="0"/>
              <w:adjustRightInd w:val="0"/>
              <w:jc w:val="left"/>
              <w:rPr>
                <w:rFonts w:eastAsia="Calibri" w:asciiTheme="minorHAnsi" w:hAnsiTheme="minorHAnsi" w:cstheme="minorHAnsi"/>
                <w:color w:val="000000"/>
                <w:sz w:val="22"/>
                <w:szCs w:val="22"/>
                <w:lang w:val="en-US"/>
              </w:rPr>
            </w:pPr>
            <w:r w:rsidRPr="00731976">
              <w:rPr>
                <w:rFonts w:eastAsia="Calibri" w:asciiTheme="minorHAnsi" w:hAnsiTheme="minorHAnsi" w:cstheme="minorHAnsi"/>
                <w:bCs/>
                <w:color w:val="000000"/>
                <w:sz w:val="22"/>
                <w:szCs w:val="22"/>
                <w:lang w:val="en-US"/>
              </w:rPr>
              <w:t xml:space="preserve">Foreign securities may include securities of companies located outside of the United States, American Depositary Receipts (ADRs) Global Depositary Receipts (GDRs), exchange traded funds and other international and global investment instruments providing an exposure to the assets described above. </w:t>
            </w:r>
          </w:p>
          <w:p w:rsidRPr="00731976" w:rsidR="00F44D34" w:rsidP="00F44D34" w:rsidRDefault="00F44D34" w14:paraId="7ECEA8A0" w14:textId="77777777">
            <w:pPr>
              <w:spacing w:before="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en-US" w:eastAsia="en-US"/>
              </w:rPr>
              <w:t>There can be no assurance that the Compartment will achieve its objective.</w:t>
            </w:r>
          </w:p>
        </w:tc>
        <w:tc>
          <w:tcPr>
            <w:tcW w:w="4253" w:type="dxa"/>
          </w:tcPr>
          <w:p w:rsidRPr="00731976" w:rsidR="00F44D34" w:rsidP="00F44D34" w:rsidRDefault="00F44D34" w14:paraId="5927EC26"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lastRenderedPageBreak/>
              <w:t>The aim of the sub-fund is long term capital appreciation by investing at least 70% of its net assets in:</w:t>
            </w:r>
          </w:p>
          <w:p w:rsidRPr="00731976" w:rsidR="00F44D34" w:rsidP="00F44D34" w:rsidRDefault="00F44D34" w14:paraId="6B9B488A"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3F3AD510"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(i) equity securities listed on the Regulated Markets of countries in Asia, Africa, Central &amp; Eastern Europe, Latin American countries, and the Middle East which are listed as a frontier market or emerging market in the MSCI Frontier Markets Index or MSCI Emerging Markets Index</w:t>
            </w:r>
            <w:r w:rsidRPr="00731976">
              <w:rPr>
                <w:rFonts w:eastAsia="Calibri" w:asciiTheme="minorHAnsi" w:hAnsiTheme="minorHAnsi" w:cstheme="minorHAnsi"/>
                <w:b/>
                <w:i/>
                <w:sz w:val="22"/>
                <w:szCs w:val="22"/>
                <w:lang w:eastAsia="en-US"/>
              </w:rPr>
              <w:t xml:space="preserve"> </w:t>
            </w:r>
            <w:r w:rsidRPr="00731976">
              <w:rPr>
                <w:rFonts w:eastAsia="Calibri" w:asciiTheme="minorHAnsi" w:hAnsiTheme="minorHAnsi" w:cstheme="minorHAnsi"/>
                <w:sz w:val="22"/>
                <w:szCs w:val="22"/>
                <w:lang w:eastAsia="en-US"/>
              </w:rPr>
              <w:t>(collectively the "</w:t>
            </w:r>
            <w:r w:rsidRPr="00731976">
              <w:rPr>
                <w:rFonts w:eastAsia="Calibri" w:asciiTheme="minorHAnsi" w:hAnsiTheme="minorHAnsi" w:cstheme="minorHAnsi"/>
                <w:b/>
                <w:sz w:val="22"/>
                <w:szCs w:val="22"/>
                <w:lang w:eastAsia="en-US"/>
              </w:rPr>
              <w:t>Emerging and</w:t>
            </w:r>
            <w:r w:rsidRPr="00731976">
              <w:rPr>
                <w:rFonts w:eastAsia="Calibri" w:asciiTheme="minorHAnsi" w:hAnsiTheme="minorHAnsi" w:cstheme="minorHAnsi"/>
                <w:sz w:val="22"/>
                <w:szCs w:val="22"/>
                <w:lang w:eastAsia="en-US"/>
              </w:rPr>
              <w:t xml:space="preserve"> </w:t>
            </w:r>
            <w:r w:rsidRPr="00731976">
              <w:rPr>
                <w:rFonts w:eastAsia="Calibri" w:asciiTheme="minorHAnsi" w:hAnsiTheme="minorHAnsi" w:cstheme="minorHAnsi"/>
                <w:b/>
                <w:sz w:val="22"/>
                <w:szCs w:val="22"/>
                <w:lang w:eastAsia="en-US"/>
              </w:rPr>
              <w:t>Frontier Markets</w:t>
            </w:r>
            <w:r w:rsidRPr="00731976">
              <w:rPr>
                <w:rFonts w:eastAsia="Calibri" w:asciiTheme="minorHAnsi" w:hAnsiTheme="minorHAnsi" w:cstheme="minorHAnsi"/>
                <w:sz w:val="22"/>
                <w:szCs w:val="22"/>
                <w:lang w:eastAsia="en-US"/>
              </w:rPr>
              <w:t>"</w:t>
            </w:r>
            <w:proofErr w:type="gramStart"/>
            <w:r w:rsidRPr="00731976">
              <w:rPr>
                <w:rFonts w:eastAsia="Calibri" w:asciiTheme="minorHAnsi" w:hAnsiTheme="minorHAnsi" w:cstheme="minorHAnsi"/>
                <w:sz w:val="22"/>
                <w:szCs w:val="22"/>
                <w:lang w:eastAsia="en-US"/>
              </w:rPr>
              <w:t>);</w:t>
            </w:r>
            <w:proofErr w:type="gramEnd"/>
          </w:p>
          <w:p w:rsidRPr="00731976" w:rsidR="00F44D34" w:rsidP="00F44D34" w:rsidRDefault="00F44D34" w14:paraId="4F0C9543"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30C70C00"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(ii) equity securities listed on the Regulated Markets outside of the Emerging and Frontier Markets whose issuers either have more than 50% of their assets, or have realized more than 50% of their revenue, net income and/or operating profit, in the Emerging and Frontier Markets.</w:t>
            </w:r>
          </w:p>
          <w:p w:rsidRPr="00731976" w:rsidR="00F44D34" w:rsidP="00F44D34" w:rsidRDefault="00F44D34" w14:paraId="5F241B9D"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0744380C"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Investment will be made in companies that will benefit from the </w:t>
            </w:r>
            <w:proofErr w:type="gramStart"/>
            <w:r w:rsidRPr="00731976">
              <w:rPr>
                <w:rFonts w:eastAsia="Calibri" w:asciiTheme="minorHAnsi" w:hAnsiTheme="minorHAnsi" w:cstheme="minorHAnsi"/>
                <w:sz w:val="22"/>
                <w:szCs w:val="22"/>
                <w:lang w:eastAsia="en-US"/>
              </w:rPr>
              <w:t>long term</w:t>
            </w:r>
            <w:proofErr w:type="gramEnd"/>
            <w:r w:rsidRPr="00731976">
              <w:rPr>
                <w:rFonts w:eastAsia="Calibri" w:asciiTheme="minorHAnsi" w:hAnsiTheme="minorHAnsi" w:cstheme="minorHAnsi"/>
                <w:sz w:val="22"/>
                <w:szCs w:val="22"/>
                <w:lang w:eastAsia="en-US"/>
              </w:rPr>
              <w:t xml:space="preserve"> growth opportunities in the Emerging and Frontier Markets which includes investing in small, mid-cap and large-cap companies where the Investment Manager identifies unrecognized investment opportunities. The sub-fund’s investment philosophy focuses on key growth </w:t>
            </w:r>
            <w:r w:rsidRPr="00731976">
              <w:rPr>
                <w:rFonts w:eastAsia="Calibri" w:asciiTheme="minorHAnsi" w:hAnsiTheme="minorHAnsi" w:cstheme="minorHAnsi"/>
                <w:sz w:val="22"/>
                <w:szCs w:val="22"/>
                <w:lang w:eastAsia="en-US"/>
              </w:rPr>
              <w:lastRenderedPageBreak/>
              <w:t xml:space="preserve">drivers in frontier markets, such </w:t>
            </w:r>
            <w:r w:rsidRPr="00731976">
              <w:rPr>
                <w:rFonts w:eastAsia="Calibri" w:asciiTheme="minorHAnsi" w:hAnsiTheme="minorHAnsi" w:cstheme="minorHAnsi"/>
                <w:sz w:val="22"/>
                <w:szCs w:val="22"/>
                <w:lang w:val="en-US" w:eastAsia="en-US"/>
              </w:rPr>
              <w:t>as tangible domestic or regional trends (</w:t>
            </w:r>
            <w:proofErr w:type="gramStart"/>
            <w:r w:rsidRPr="00731976">
              <w:rPr>
                <w:rFonts w:eastAsia="Calibri" w:asciiTheme="minorHAnsi" w:hAnsiTheme="minorHAnsi" w:cstheme="minorHAnsi"/>
                <w:sz w:val="22"/>
                <w:szCs w:val="22"/>
                <w:lang w:val="en-US" w:eastAsia="en-US"/>
              </w:rPr>
              <w:t>i.e.</w:t>
            </w:r>
            <w:proofErr w:type="gramEnd"/>
            <w:r w:rsidRPr="00731976">
              <w:rPr>
                <w:rFonts w:eastAsia="Calibri" w:asciiTheme="minorHAnsi" w:hAnsiTheme="minorHAnsi" w:cstheme="minorHAnsi"/>
                <w:sz w:val="22"/>
                <w:szCs w:val="22"/>
                <w:lang w:val="en-US" w:eastAsia="en-US"/>
              </w:rPr>
              <w:t xml:space="preserve"> growth of consumption, </w:t>
            </w:r>
            <w:proofErr w:type="spellStart"/>
            <w:r w:rsidRPr="00731976">
              <w:rPr>
                <w:rFonts w:eastAsia="Calibri" w:asciiTheme="minorHAnsi" w:hAnsiTheme="minorHAnsi" w:cstheme="minorHAnsi"/>
                <w:sz w:val="22"/>
                <w:szCs w:val="22"/>
                <w:lang w:val="en-US" w:eastAsia="en-US"/>
              </w:rPr>
              <w:t>favourable</w:t>
            </w:r>
            <w:proofErr w:type="spellEnd"/>
            <w:r w:rsidRPr="00731976">
              <w:rPr>
                <w:rFonts w:eastAsia="Calibri" w:asciiTheme="minorHAnsi" w:hAnsiTheme="minorHAnsi" w:cstheme="minorHAnsi"/>
                <w:sz w:val="22"/>
                <w:szCs w:val="22"/>
                <w:lang w:val="en-US" w:eastAsia="en-US"/>
              </w:rPr>
              <w:t xml:space="preserve"> demographics) </w:t>
            </w:r>
            <w:r w:rsidRPr="00731976">
              <w:rPr>
                <w:rFonts w:eastAsia="Calibri" w:asciiTheme="minorHAnsi" w:hAnsiTheme="minorHAnsi" w:cstheme="minorHAnsi"/>
                <w:sz w:val="22"/>
                <w:szCs w:val="22"/>
                <w:lang w:eastAsia="en-US"/>
              </w:rPr>
              <w:t>which are perceived by the Investment Manager as being the growth markets of the future, hence, the name "future world".</w:t>
            </w:r>
          </w:p>
          <w:p w:rsidRPr="00731976" w:rsidR="00F44D34" w:rsidP="00F44D34" w:rsidRDefault="00F44D34" w14:paraId="5F26C7F3"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6DD199D4"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remainder of the sub-fund’s assets may be invested in </w:t>
            </w:r>
            <w:r w:rsidRPr="00731976">
              <w:rPr>
                <w:rFonts w:eastAsia="Arial Unicode MS" w:asciiTheme="minorHAnsi" w:hAnsiTheme="minorHAnsi" w:cstheme="minorHAnsi"/>
                <w:sz w:val="22"/>
                <w:szCs w:val="22"/>
                <w:lang w:eastAsia="en-US"/>
              </w:rPr>
              <w:t xml:space="preserve">(a) fixed income securities (such as bonds) listed on Regulated Markets whose issuers have their principal office in the Emerging and Frontier Markets (subject to a maximum of 20% of its net assets); (b) </w:t>
            </w:r>
            <w:r w:rsidRPr="00731976">
              <w:rPr>
                <w:rFonts w:eastAsia="Calibri" w:asciiTheme="minorHAnsi" w:hAnsiTheme="minorHAnsi" w:cstheme="minorHAnsi"/>
                <w:sz w:val="22"/>
                <w:szCs w:val="22"/>
                <w:lang w:eastAsia="en-US"/>
              </w:rPr>
              <w:t xml:space="preserve">other Transferable Securities listed on Regulated Markets and units of UCITS and/or other UCIs (subject to a maximum of 10% of its net assets) listed on Regulated Markets which will have a direct or indirect exposure to the Emerging and Frontier Markets; and (c) Money Market Instruments and time deposits. </w:t>
            </w:r>
          </w:p>
          <w:p w:rsidRPr="00731976" w:rsidR="00F44D34" w:rsidP="00F44D34" w:rsidRDefault="00F44D34" w14:paraId="1D075114"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3CBE37DE"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The sub-fund may invest up to 50 % of its net assets in China A Shares via Stock Connect. The sub-fund will not invest, directly or indirectly in China B Shares.</w:t>
            </w:r>
          </w:p>
          <w:p w:rsidRPr="00731976" w:rsidR="00F44D34" w:rsidP="00F44D34" w:rsidRDefault="00F44D34" w14:paraId="6872240D"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7DDDEFD8"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731976" w:rsidR="00F44D34" w:rsidP="00F44D34" w:rsidRDefault="00F44D34" w14:paraId="46472B9A"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33608FC8" w14:textId="77777777">
            <w:pPr>
              <w:autoSpaceDE w:val="0"/>
              <w:autoSpaceDN w:val="0"/>
              <w:adjustRightInd w:val="0"/>
              <w:rPr>
                <w:rFonts w:eastAsia="Calibri" w:asciiTheme="minorHAnsi" w:hAnsiTheme="minorHAnsi" w:cstheme="minorHAnsi"/>
                <w:sz w:val="22"/>
                <w:szCs w:val="22"/>
                <w:lang w:eastAsia="en-US"/>
              </w:rPr>
            </w:pPr>
            <w:proofErr w:type="gramStart"/>
            <w:r w:rsidRPr="00731976">
              <w:rPr>
                <w:rFonts w:eastAsia="Calibri" w:asciiTheme="minorHAnsi" w:hAnsiTheme="minorHAnsi" w:cstheme="minorHAnsi"/>
                <w:sz w:val="22"/>
                <w:szCs w:val="22"/>
                <w:lang w:eastAsia="en-US"/>
              </w:rPr>
              <w:t>In order to</w:t>
            </w:r>
            <w:proofErr w:type="gramEnd"/>
            <w:r w:rsidRPr="00731976">
              <w:rPr>
                <w:rFonts w:eastAsia="Calibri" w:asciiTheme="minorHAnsi" w:hAnsiTheme="minorHAnsi" w:cstheme="minorHAnsi"/>
                <w:sz w:val="22"/>
                <w:szCs w:val="22"/>
                <w:lang w:eastAsia="en-US"/>
              </w:rPr>
              <w:t xml:space="preserve"> achieve its investment goals, for treasury purposes, and/or in case of unfavourable market conditions, the sub-fund may hold bank deposits, Money Market Instruments or money market funds pursuant to the applicable investment restrictions.</w:t>
            </w:r>
          </w:p>
          <w:p w:rsidRPr="00731976" w:rsidR="00F44D34" w:rsidP="00F44D34" w:rsidRDefault="00F44D34" w14:paraId="1A78C785"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268B0752"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Within the limits set forth and as described under Appendix II. of the Prospectus, the sub-fund may use financial techniques and instruments such as call and put options and financial futures (both index and OTC) for efficient portfolio management or to attempt to hedge or reduce the overall risk of its investments. For so long as the sub-fund remains authorised for public offering in </w:t>
            </w:r>
            <w:r w:rsidRPr="00731976">
              <w:rPr>
                <w:rFonts w:eastAsia="Calibri" w:asciiTheme="minorHAnsi" w:hAnsiTheme="minorHAnsi" w:cstheme="minorHAnsi"/>
                <w:sz w:val="22"/>
                <w:szCs w:val="22"/>
                <w:lang w:eastAsia="en-US"/>
              </w:rPr>
              <w:lastRenderedPageBreak/>
              <w:t>Hong Kong, the sub-fund will not use financial derivative instruments primarily or extensively for investment purposes without the prior approval of the relevant regulatory authority in Hong Kong. If the sub-fund wishes to use financial derivative instruments primarily or extensively for investment purposes, at least one month’s prior notice will be given to shareholders and the prospectus will be amended accordingly.</w:t>
            </w:r>
          </w:p>
          <w:p w:rsidRPr="00731976" w:rsidR="00F44D34" w:rsidP="00F44D34" w:rsidRDefault="00F44D34" w14:paraId="3EA48BA3"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498DC48E"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sub-fund will not engage in securities lending or </w:t>
            </w:r>
            <w:proofErr w:type="gramStart"/>
            <w:r w:rsidRPr="00731976">
              <w:rPr>
                <w:rFonts w:eastAsia="Calibri" w:asciiTheme="minorHAnsi" w:hAnsiTheme="minorHAnsi" w:cstheme="minorHAnsi"/>
                <w:sz w:val="22"/>
                <w:szCs w:val="22"/>
                <w:lang w:eastAsia="en-US"/>
              </w:rPr>
              <w:t>enter into</w:t>
            </w:r>
            <w:proofErr w:type="gramEnd"/>
            <w:r w:rsidRPr="00731976">
              <w:rPr>
                <w:rFonts w:eastAsia="Calibri" w:asciiTheme="minorHAnsi" w:hAnsiTheme="minorHAnsi" w:cstheme="minorHAnsi"/>
                <w:sz w:val="22"/>
                <w:szCs w:val="22"/>
                <w:lang w:eastAsia="en-US"/>
              </w:rPr>
              <w:t xml:space="preserve"> repurchase agreements.</w:t>
            </w:r>
          </w:p>
          <w:p w:rsidRPr="00731976" w:rsidR="00F44D34" w:rsidP="00F44D34" w:rsidRDefault="00F44D34" w14:paraId="5EBA5B58"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2E4F1E0E"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sub-fund will not invest in debt securities issued and/or guaranteed by any single sovereign issuer (including its government, a public or local authority of that country) with a credit rating below investment grade, including unrated sovereign issuers. </w:t>
            </w:r>
            <w:r w:rsidRPr="00731976">
              <w:rPr>
                <w:rFonts w:eastAsia="Arial Unicode MS" w:asciiTheme="minorHAnsi" w:hAnsiTheme="minorHAnsi" w:cstheme="minorHAnsi"/>
                <w:sz w:val="22"/>
                <w:szCs w:val="22"/>
                <w:lang w:eastAsia="en-US"/>
              </w:rPr>
              <w:t xml:space="preserve">It will also not invest in real estate investment trusts, asset-backed </w:t>
            </w:r>
            <w:proofErr w:type="gramStart"/>
            <w:r w:rsidRPr="00731976">
              <w:rPr>
                <w:rFonts w:eastAsia="Arial Unicode MS" w:asciiTheme="minorHAnsi" w:hAnsiTheme="minorHAnsi" w:cstheme="minorHAnsi"/>
                <w:sz w:val="22"/>
                <w:szCs w:val="22"/>
                <w:lang w:eastAsia="en-US"/>
              </w:rPr>
              <w:t>securities</w:t>
            </w:r>
            <w:proofErr w:type="gramEnd"/>
            <w:r w:rsidRPr="00731976">
              <w:rPr>
                <w:rFonts w:eastAsia="Arial Unicode MS" w:asciiTheme="minorHAnsi" w:hAnsiTheme="minorHAnsi" w:cstheme="minorHAnsi"/>
                <w:sz w:val="22"/>
                <w:szCs w:val="22"/>
                <w:lang w:eastAsia="en-US"/>
              </w:rPr>
              <w:t xml:space="preserve"> or mortgaged-backed securities.</w:t>
            </w:r>
          </w:p>
          <w:p w:rsidRPr="00731976" w:rsidR="00F44D34" w:rsidP="00F44D34" w:rsidRDefault="00F44D34" w14:paraId="2C40C5D2"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4BF1CEBF"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investment process of the sub-fund encompasses the consideration of environmental, social and governance (ESG) factors. The sub-fund is unconstrained, with a thematic process that incorporates ESG and impact analysis. The ESG analysis eliminates over 20% of potential stocks that have passed the Investment Manager’s thematic filter. Furthermore, </w:t>
            </w:r>
            <w:proofErr w:type="gramStart"/>
            <w:r w:rsidRPr="00731976">
              <w:rPr>
                <w:rFonts w:eastAsia="Calibri" w:asciiTheme="minorHAnsi" w:hAnsiTheme="minorHAnsi" w:cstheme="minorHAnsi"/>
                <w:sz w:val="22"/>
                <w:szCs w:val="22"/>
                <w:lang w:eastAsia="en-US"/>
              </w:rPr>
              <w:t>in order to</w:t>
            </w:r>
            <w:proofErr w:type="gramEnd"/>
            <w:r w:rsidRPr="00731976">
              <w:rPr>
                <w:rFonts w:eastAsia="Calibri" w:asciiTheme="minorHAnsi" w:hAnsiTheme="minorHAnsi" w:cstheme="minorHAnsi"/>
                <w:sz w:val="22"/>
                <w:szCs w:val="22"/>
                <w:lang w:eastAsia="en-US"/>
              </w:rPr>
              <w:t xml:space="preserve"> meet Investment Manager’s desired portfolio characteristics and tracking error, the portfolio may be optimised with reference to a relevant index. It is the intention of the Investment Manager that the investments contained within the sub-fund will collectively emit lower GHG and use less water than the relevant index.</w:t>
            </w:r>
          </w:p>
          <w:p w:rsidRPr="00731976" w:rsidR="00F44D34" w:rsidP="00F44D34" w:rsidRDefault="00F44D34" w14:paraId="16955DD7"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7B3DBC85"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Alquity SICAV – Alquity Future World Fund sub-fund aims to invest in underlying investments that pass the Investment Manager’s proprietary ESG investment process and offer opportunities for strong risk-adjusted returns. The Investment </w:t>
            </w:r>
            <w:r w:rsidRPr="00731976">
              <w:rPr>
                <w:rFonts w:eastAsia="Calibri" w:asciiTheme="minorHAnsi" w:hAnsiTheme="minorHAnsi" w:cstheme="minorHAnsi"/>
                <w:sz w:val="22"/>
                <w:szCs w:val="22"/>
                <w:lang w:eastAsia="en-US"/>
              </w:rPr>
              <w:lastRenderedPageBreak/>
              <w:t xml:space="preserve">Manager will use a </w:t>
            </w:r>
            <w:proofErr w:type="spellStart"/>
            <w:r w:rsidRPr="00731976">
              <w:rPr>
                <w:rFonts w:eastAsia="Calibri" w:asciiTheme="minorHAnsi" w:hAnsiTheme="minorHAnsi" w:cstheme="minorHAnsi"/>
                <w:sz w:val="22"/>
                <w:szCs w:val="22"/>
                <w:lang w:eastAsia="en-US"/>
              </w:rPr>
              <w:t>predominently</w:t>
            </w:r>
            <w:proofErr w:type="spellEnd"/>
            <w:r w:rsidRPr="00731976">
              <w:rPr>
                <w:rFonts w:eastAsia="Calibri" w:asciiTheme="minorHAnsi" w:hAnsiTheme="minorHAnsi" w:cstheme="minorHAnsi"/>
                <w:sz w:val="22"/>
                <w:szCs w:val="22"/>
                <w:lang w:eastAsia="en-US"/>
              </w:rPr>
              <w:t xml:space="preserve"> fundamental approach that may incorporate qualitative and/or quantitative approaches to build the portfolio and will incorporate his proprietary ESG frameworks to help build a portfolio consistent with high ESG aims and delivery of positive societal impacts. Investments will include companies that will benefit from the climate transition to a new and more sustainable economy based around the aspirations of agendas such as the United Nation Sustainable Development Goals (SDGs). </w:t>
            </w:r>
          </w:p>
          <w:p w:rsidRPr="00731976" w:rsidR="00F44D34" w:rsidP="00F44D34" w:rsidRDefault="00F44D34" w14:paraId="0A763C19" w14:textId="77777777">
            <w:pPr>
              <w:rPr>
                <w:rFonts w:eastAsia="Calibri" w:asciiTheme="minorHAnsi" w:hAnsiTheme="minorHAnsi" w:cstheme="minorHAnsi"/>
                <w:sz w:val="22"/>
                <w:szCs w:val="22"/>
                <w:lang w:eastAsia="en-US"/>
              </w:rPr>
            </w:pPr>
          </w:p>
          <w:p w:rsidRPr="00731976" w:rsidR="00F44D34" w:rsidP="00F44D34" w:rsidRDefault="00F44D34" w14:paraId="74EC2F45"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en-US" w:eastAsia="en-US"/>
              </w:rPr>
              <w:t xml:space="preserve">The sub-fund invests </w:t>
            </w:r>
            <w:r w:rsidRPr="00731976">
              <w:rPr>
                <w:rFonts w:eastAsia="Calibri" w:asciiTheme="minorHAnsi" w:hAnsiTheme="minorHAnsi" w:cstheme="minorHAnsi"/>
                <w:sz w:val="22"/>
                <w:szCs w:val="22"/>
                <w:lang w:eastAsia="en-US"/>
              </w:rPr>
              <w:t xml:space="preserve">in well run, attractively valued companies committed to delivering sustainable long-term earnings streams by delivering quality products and services that make a positive societal contribution in Emerging and Frontier Markets (companies who avoid exploitation of the environment, respect the rights of employees and </w:t>
            </w:r>
            <w:proofErr w:type="gramStart"/>
            <w:r w:rsidRPr="00731976">
              <w:rPr>
                <w:rFonts w:eastAsia="Calibri" w:asciiTheme="minorHAnsi" w:hAnsiTheme="minorHAnsi" w:cstheme="minorHAnsi"/>
                <w:sz w:val="22"/>
                <w:szCs w:val="22"/>
                <w:lang w:eastAsia="en-US"/>
              </w:rPr>
              <w:t>communities</w:t>
            </w:r>
            <w:proofErr w:type="gramEnd"/>
            <w:r w:rsidRPr="00731976">
              <w:rPr>
                <w:rFonts w:eastAsia="Calibri" w:asciiTheme="minorHAnsi" w:hAnsiTheme="minorHAnsi" w:cstheme="minorHAnsi"/>
                <w:sz w:val="22"/>
                <w:szCs w:val="22"/>
                <w:lang w:eastAsia="en-US"/>
              </w:rPr>
              <w:t xml:space="preserve"> and are governed in the interests of all stakeholders, to deliver inclusive growth).</w:t>
            </w:r>
          </w:p>
          <w:p w:rsidRPr="00731976" w:rsidR="00F44D34" w:rsidP="00F44D34" w:rsidRDefault="00F44D34" w14:paraId="23DE6001" w14:textId="77777777">
            <w:pPr>
              <w:rPr>
                <w:rFonts w:eastAsia="Calibri" w:asciiTheme="minorHAnsi" w:hAnsiTheme="minorHAnsi" w:cstheme="minorHAnsi"/>
                <w:sz w:val="22"/>
                <w:szCs w:val="22"/>
                <w:lang w:eastAsia="en-US"/>
              </w:rPr>
            </w:pPr>
          </w:p>
          <w:p w:rsidRPr="00731976" w:rsidR="00F44D34" w:rsidP="00F44D34" w:rsidRDefault="00F44D34" w14:paraId="2515DC9C"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In this respect, the sub-fund will essentially invest in a widely diversified portfolio of companies that, inter alia: </w:t>
            </w:r>
          </w:p>
          <w:p w:rsidRPr="00731976" w:rsidR="00F44D34" w:rsidP="00F44D34" w:rsidRDefault="00F44D34" w14:paraId="52BD02C5" w14:textId="77777777">
            <w:pPr>
              <w:rPr>
                <w:rFonts w:eastAsia="Calibri" w:asciiTheme="minorHAnsi" w:hAnsiTheme="minorHAnsi" w:cstheme="minorHAnsi"/>
                <w:sz w:val="22"/>
                <w:szCs w:val="22"/>
                <w:lang w:eastAsia="en-US"/>
              </w:rPr>
            </w:pPr>
          </w:p>
          <w:p w:rsidRPr="00731976" w:rsidR="00F44D34" w:rsidP="00F44D34" w:rsidRDefault="00F44D34" w14:paraId="38201EF3" w14:textId="77777777">
            <w:pPr>
              <w:numPr>
                <w:ilvl w:val="0"/>
                <w:numId w:val="46"/>
              </w:numPr>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Have a positive impact in terms of one or more of the United Nation SDGs, and/or </w:t>
            </w:r>
          </w:p>
          <w:p w:rsidRPr="00731976" w:rsidR="00F44D34" w:rsidP="00F44D34" w:rsidRDefault="00F44D34" w14:paraId="435032E2" w14:textId="77777777">
            <w:pPr>
              <w:numPr>
                <w:ilvl w:val="0"/>
                <w:numId w:val="46"/>
              </w:numPr>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Support the societal transition to a low carbon economy, and/or </w:t>
            </w:r>
          </w:p>
          <w:p w:rsidRPr="00731976" w:rsidR="00F44D34" w:rsidP="00F44D34" w:rsidRDefault="00F44D34" w14:paraId="76BCE370" w14:textId="77777777">
            <w:pPr>
              <w:numPr>
                <w:ilvl w:val="0"/>
                <w:numId w:val="46"/>
              </w:numPr>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Meet high and improving ESG criteria, and/or </w:t>
            </w:r>
          </w:p>
          <w:p w:rsidRPr="00731976" w:rsidR="00F44D34" w:rsidP="00F44D34" w:rsidRDefault="00F44D34" w14:paraId="476E29A3" w14:textId="77777777">
            <w:pPr>
              <w:numPr>
                <w:ilvl w:val="0"/>
                <w:numId w:val="46"/>
              </w:numPr>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Deliver and are committed to maintaining above average metrics for areas such as, but not limited to: </w:t>
            </w:r>
          </w:p>
          <w:p w:rsidRPr="00731976" w:rsidR="00F44D34" w:rsidP="00F44D34" w:rsidRDefault="00F44D34" w14:paraId="6840260F" w14:textId="77777777">
            <w:pPr>
              <w:numPr>
                <w:ilvl w:val="1"/>
                <w:numId w:val="45"/>
              </w:numPr>
              <w:contextualSpacing/>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GHG emissions; and</w:t>
            </w:r>
          </w:p>
          <w:p w:rsidRPr="00731976" w:rsidR="00F44D34" w:rsidP="00F44D34" w:rsidRDefault="00F44D34" w14:paraId="0000F11C" w14:textId="77777777">
            <w:pPr>
              <w:numPr>
                <w:ilvl w:val="1"/>
                <w:numId w:val="45"/>
              </w:numPr>
              <w:contextualSpacing/>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Water use intensity.</w:t>
            </w:r>
          </w:p>
          <w:p w:rsidRPr="00731976" w:rsidR="00F44D34" w:rsidP="00F44D34" w:rsidRDefault="00F44D34" w14:paraId="3F2E629D" w14:textId="77777777">
            <w:pPr>
              <w:numPr>
                <w:ilvl w:val="0"/>
                <w:numId w:val="47"/>
              </w:numPr>
              <w:jc w:val="righ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Exclude sectors that serve no positive social purpose (</w:t>
            </w:r>
            <w:proofErr w:type="gramStart"/>
            <w:r w:rsidRPr="00731976">
              <w:rPr>
                <w:rFonts w:eastAsia="Calibri" w:asciiTheme="minorHAnsi" w:hAnsiTheme="minorHAnsi" w:cstheme="minorHAnsi"/>
                <w:sz w:val="22"/>
                <w:szCs w:val="22"/>
                <w:lang w:eastAsia="en-US"/>
              </w:rPr>
              <w:t>i.e.</w:t>
            </w:r>
            <w:proofErr w:type="gramEnd"/>
            <w:r w:rsidRPr="00731976">
              <w:rPr>
                <w:rFonts w:eastAsia="Calibri" w:asciiTheme="minorHAnsi" w:hAnsiTheme="minorHAnsi" w:cstheme="minorHAnsi"/>
                <w:sz w:val="22"/>
                <w:szCs w:val="22"/>
                <w:lang w:eastAsia="en-US"/>
              </w:rPr>
              <w:t xml:space="preserve"> tobacco, liquor, gambling, narcotics, adult entertainment, armaments, fossil fuels, coal mining). </w:t>
            </w:r>
          </w:p>
          <w:p w:rsidRPr="00731976" w:rsidR="00F44D34" w:rsidP="00F44D34" w:rsidRDefault="00F44D34" w14:paraId="7189F7A7" w14:textId="77777777">
            <w:pPr>
              <w:rPr>
                <w:rFonts w:eastAsia="Calibri" w:asciiTheme="minorHAnsi" w:hAnsiTheme="minorHAnsi" w:cstheme="minorHAnsi"/>
                <w:sz w:val="22"/>
                <w:szCs w:val="22"/>
                <w:lang w:eastAsia="en-US"/>
              </w:rPr>
            </w:pPr>
          </w:p>
          <w:p w:rsidRPr="00731976" w:rsidR="00F44D34" w:rsidP="00F44D34" w:rsidRDefault="00F44D34" w14:paraId="54EEA865"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Where possible the investment manager will identify management teams that are able to steward these companies with an appropriately long-term time horizon, as this increases the chances of generating superior returns. </w:t>
            </w:r>
          </w:p>
          <w:p w:rsidRPr="00731976" w:rsidR="00F44D34" w:rsidP="00F44D34" w:rsidRDefault="00F44D34" w14:paraId="62BF05BA" w14:textId="77777777">
            <w:pPr>
              <w:rPr>
                <w:rFonts w:eastAsia="Calibri" w:asciiTheme="minorHAnsi" w:hAnsiTheme="minorHAnsi" w:cstheme="minorHAnsi"/>
                <w:sz w:val="22"/>
                <w:szCs w:val="22"/>
                <w:lang w:val="en-US" w:eastAsia="en-US"/>
              </w:rPr>
            </w:pPr>
          </w:p>
          <w:p w:rsidRPr="00731976" w:rsidR="00F44D34" w:rsidP="00F44D34" w:rsidRDefault="00F44D34" w14:paraId="554BA502"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en-US" w:eastAsia="en-US"/>
              </w:rPr>
              <w:t xml:space="preserve">The sub-fund invests only in assets meeting ESG criteria and having positive societal impact, excluding sectors and business practices that Alquity believes are detrimental to society and incompatible with sustainable investment strategies. Investment selection and portfolio construction align with IPCC 1.5-degree scenario aiming for lower and reducing </w:t>
            </w:r>
            <w:r w:rsidRPr="00731976">
              <w:rPr>
                <w:rFonts w:eastAsia="Calibri" w:asciiTheme="minorHAnsi" w:hAnsiTheme="minorHAnsi" w:cstheme="minorHAnsi"/>
                <w:sz w:val="22"/>
                <w:szCs w:val="22"/>
                <w:lang w:eastAsia="en-US"/>
              </w:rPr>
              <w:t xml:space="preserve">GHGs emissions </w:t>
            </w:r>
            <w:r w:rsidRPr="00731976">
              <w:rPr>
                <w:rFonts w:eastAsia="Calibri" w:asciiTheme="minorHAnsi" w:hAnsiTheme="minorHAnsi" w:cstheme="minorHAnsi"/>
                <w:sz w:val="22"/>
                <w:szCs w:val="22"/>
                <w:lang w:val="en-US" w:eastAsia="en-US"/>
              </w:rPr>
              <w:t xml:space="preserve">and water intensity, while maintaining active engagement and voting policy based on 16 Key Progress Indicators that are tracked and developed to support the principles enshrined in the UN Global Compact and deliver positive </w:t>
            </w:r>
            <w:proofErr w:type="gramStart"/>
            <w:r w:rsidRPr="00731976">
              <w:rPr>
                <w:rFonts w:eastAsia="Calibri" w:asciiTheme="minorHAnsi" w:hAnsiTheme="minorHAnsi" w:cstheme="minorHAnsi"/>
                <w:sz w:val="22"/>
                <w:szCs w:val="22"/>
                <w:lang w:val="en-US" w:eastAsia="en-US"/>
              </w:rPr>
              <w:t>real world</w:t>
            </w:r>
            <w:proofErr w:type="gramEnd"/>
            <w:r w:rsidRPr="00731976">
              <w:rPr>
                <w:rFonts w:eastAsia="Calibri" w:asciiTheme="minorHAnsi" w:hAnsiTheme="minorHAnsi" w:cstheme="minorHAnsi"/>
                <w:sz w:val="22"/>
                <w:szCs w:val="22"/>
                <w:lang w:val="en-US" w:eastAsia="en-US"/>
              </w:rPr>
              <w:t xml:space="preserve"> impact, building sustainable economies and societies. </w:t>
            </w:r>
          </w:p>
          <w:p w:rsidRPr="00731976" w:rsidR="00F44D34" w:rsidP="00F44D34" w:rsidRDefault="00F44D34" w14:paraId="520621E8" w14:textId="77777777">
            <w:pPr>
              <w:rPr>
                <w:rFonts w:eastAsia="Calibri" w:asciiTheme="minorHAnsi" w:hAnsiTheme="minorHAnsi" w:cstheme="minorHAnsi"/>
                <w:sz w:val="22"/>
                <w:szCs w:val="22"/>
                <w:lang w:eastAsia="en-US"/>
              </w:rPr>
            </w:pPr>
          </w:p>
          <w:p w:rsidRPr="00731976" w:rsidR="00F44D34" w:rsidP="00F44D34" w:rsidRDefault="00F44D34" w14:paraId="504F9580"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b/>
                <w:sz w:val="22"/>
                <w:szCs w:val="22"/>
                <w:lang w:eastAsia="en-US"/>
              </w:rPr>
              <w:t>The investment process is described in detail above and further in Annex IV "Pre-contractual Information on Sustainable Investments" of the Prospectus.</w:t>
            </w:r>
            <w:r w:rsidRPr="00731976">
              <w:rPr>
                <w:rFonts w:eastAsia="Calibri" w:asciiTheme="minorHAnsi" w:hAnsiTheme="minorHAnsi" w:cstheme="minorHAnsi"/>
                <w:sz w:val="22"/>
                <w:szCs w:val="22"/>
                <w:lang w:eastAsia="en-US"/>
              </w:rPr>
              <w:t xml:space="preserve"> These investments may be aligned with taxonomy-aligned environmentally sustainable activities but there is no commitment for any investments to do so. </w:t>
            </w:r>
          </w:p>
          <w:p w:rsidRPr="00731976" w:rsidR="00F44D34" w:rsidP="00F44D34" w:rsidRDefault="00F44D34" w14:paraId="18272FA3" w14:textId="77777777">
            <w:pPr>
              <w:rPr>
                <w:rFonts w:eastAsia="Calibri" w:asciiTheme="minorHAnsi" w:hAnsiTheme="minorHAnsi" w:cstheme="minorHAnsi"/>
                <w:sz w:val="22"/>
                <w:szCs w:val="22"/>
                <w:lang w:eastAsia="en-US"/>
              </w:rPr>
            </w:pPr>
          </w:p>
          <w:p w:rsidRPr="00731976" w:rsidR="00F44D34" w:rsidP="00F44D34" w:rsidRDefault="00F44D34" w14:paraId="325B356A"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The sub-fund does however contribute towards climate change mitigation and adaptation in the following ways:</w:t>
            </w:r>
          </w:p>
          <w:p w:rsidRPr="00731976" w:rsidR="00F44D34" w:rsidP="00F44D34" w:rsidRDefault="00F44D34" w14:paraId="701CFBFF"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w:t>
            </w:r>
          </w:p>
          <w:p w:rsidRPr="00731976" w:rsidR="00F44D34" w:rsidP="00F44D34" w:rsidRDefault="00F44D34" w14:paraId="22FC5355"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1. The sub-fund excludes all investments in fossil fuel exploration and production (including coal mining and non-green hydrogen power). The sub-fund also excludes companies that emit high levels of GHGs in their production processes but do not provide emissions data.</w:t>
            </w:r>
          </w:p>
          <w:p w:rsidRPr="00731976" w:rsidR="00F44D34" w:rsidP="00F44D34" w:rsidRDefault="00F44D34" w14:paraId="4515BAB9" w14:textId="77777777">
            <w:pPr>
              <w:rPr>
                <w:rFonts w:eastAsia="Calibri" w:asciiTheme="minorHAnsi" w:hAnsiTheme="minorHAnsi" w:cstheme="minorHAnsi"/>
                <w:sz w:val="22"/>
                <w:szCs w:val="22"/>
                <w:lang w:eastAsia="en-US"/>
              </w:rPr>
            </w:pPr>
          </w:p>
          <w:p w:rsidRPr="00731976" w:rsidR="00F44D34" w:rsidP="00F44D34" w:rsidRDefault="00F44D34" w14:paraId="6DA912B0"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lastRenderedPageBreak/>
              <w:t>2. The sub-fund tracks and reports Key Progress Indicators for all investments in relation to their publication of emissions data, if they have defined plans for reduction of their environmental impact, reporting in line with TCFD recommendations and if the prevention of biodiversity loss is actively considered in strategic planning</w:t>
            </w:r>
          </w:p>
          <w:p w:rsidRPr="00731976" w:rsidR="00F44D34" w:rsidP="00F44D34" w:rsidRDefault="00F44D34" w14:paraId="0A3ECEB8" w14:textId="77777777">
            <w:pPr>
              <w:rPr>
                <w:rFonts w:eastAsia="Calibri" w:asciiTheme="minorHAnsi" w:hAnsiTheme="minorHAnsi" w:cstheme="minorHAnsi"/>
                <w:sz w:val="22"/>
                <w:szCs w:val="22"/>
                <w:lang w:eastAsia="en-US"/>
              </w:rPr>
            </w:pPr>
          </w:p>
          <w:p w:rsidRPr="00731976" w:rsidR="00F44D34" w:rsidP="00F44D34" w:rsidRDefault="00F44D34" w14:paraId="268D2829"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3. The sub-fund commits to ensuring the GHG emission intensity and water usage from its investments is always lower than that of its relevant benchmark index.</w:t>
            </w:r>
          </w:p>
          <w:p w:rsidRPr="00731976" w:rsidR="00F44D34" w:rsidP="00F44D34" w:rsidRDefault="00F44D34" w14:paraId="104A7308"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w:t>
            </w:r>
          </w:p>
          <w:p w:rsidRPr="00731976" w:rsidR="00F44D34" w:rsidP="00F44D34" w:rsidRDefault="00F44D34" w14:paraId="132BADFC"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 xml:space="preserve">The above information is published frequently on factsheets, quarterly </w:t>
            </w:r>
            <w:proofErr w:type="gramStart"/>
            <w:r w:rsidRPr="00731976">
              <w:rPr>
                <w:rFonts w:eastAsia="Calibri" w:asciiTheme="minorHAnsi" w:hAnsiTheme="minorHAnsi" w:cstheme="minorHAnsi"/>
                <w:sz w:val="22"/>
                <w:szCs w:val="22"/>
                <w:lang w:eastAsia="en-US"/>
              </w:rPr>
              <w:t>presentations</w:t>
            </w:r>
            <w:proofErr w:type="gramEnd"/>
            <w:r w:rsidRPr="00731976">
              <w:rPr>
                <w:rFonts w:eastAsia="Calibri" w:asciiTheme="minorHAnsi" w:hAnsiTheme="minorHAnsi" w:cstheme="minorHAnsi"/>
                <w:sz w:val="22"/>
                <w:szCs w:val="22"/>
                <w:lang w:eastAsia="en-US"/>
              </w:rPr>
              <w:t xml:space="preserve"> and the annual impact report.</w:t>
            </w:r>
          </w:p>
          <w:p w:rsidRPr="00731976" w:rsidR="00F44D34" w:rsidP="00F44D34" w:rsidRDefault="00F44D34" w14:paraId="0DBE593E"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5A7257F1" w14:textId="77777777">
            <w:pPr>
              <w:autoSpaceDE w:val="0"/>
              <w:autoSpaceDN w:val="0"/>
              <w:adjustRightInd w:val="0"/>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If the sub-fund determines in the future to change any of its investment strategies and policies as stated above, at least one month’s prior notice will be given to shareholders and the prospectus will be amended accordingly.</w:t>
            </w:r>
          </w:p>
          <w:p w:rsidRPr="00731976" w:rsidR="00F44D34" w:rsidP="00F44D34" w:rsidRDefault="00F44D34" w14:paraId="6FA4B022" w14:textId="77777777">
            <w:pPr>
              <w:autoSpaceDE w:val="0"/>
              <w:autoSpaceDN w:val="0"/>
              <w:adjustRightInd w:val="0"/>
              <w:rPr>
                <w:rFonts w:eastAsia="Calibri" w:asciiTheme="minorHAnsi" w:hAnsiTheme="minorHAnsi" w:cstheme="minorHAnsi"/>
                <w:sz w:val="22"/>
                <w:szCs w:val="22"/>
                <w:lang w:eastAsia="en-US"/>
              </w:rPr>
            </w:pPr>
          </w:p>
          <w:p w:rsidRPr="00731976" w:rsidR="00F44D34" w:rsidP="00F44D34" w:rsidRDefault="00F44D34" w14:paraId="1C0604A9" w14:textId="77777777">
            <w:pPr>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The sub-fund is active and managed without reference to a benchmark. The Investment Manager has discretion over the composition of its portfolio subject to this objective and investment policy.</w:t>
            </w:r>
          </w:p>
          <w:p w:rsidRPr="00731976" w:rsidR="00F44D34" w:rsidP="00F44D34" w:rsidRDefault="00F44D34" w14:paraId="2DED880F" w14:textId="77777777">
            <w:pPr>
              <w:spacing w:before="40" w:after="60"/>
              <w:jc w:val="left"/>
              <w:rPr>
                <w:rFonts w:eastAsia="Calibri" w:asciiTheme="minorHAnsi" w:hAnsiTheme="minorHAnsi" w:cstheme="minorHAnsi"/>
                <w:sz w:val="22"/>
                <w:szCs w:val="22"/>
                <w:lang w:eastAsia="en-US"/>
              </w:rPr>
            </w:pPr>
          </w:p>
        </w:tc>
      </w:tr>
      <w:tr w:rsidRPr="004E4C21" w:rsidR="00F44D34" w:rsidTr="007C056D" w14:paraId="315278FD" w14:textId="77777777">
        <w:trPr>
          <w:gridAfter w:val="1"/>
          <w:wAfter w:w="15" w:type="dxa"/>
          <w:jc w:val="center"/>
        </w:trPr>
        <w:tc>
          <w:tcPr>
            <w:tcW w:w="2189" w:type="dxa"/>
          </w:tcPr>
          <w:p w:rsidRPr="00731976" w:rsidR="00F44D34" w:rsidP="00F44D34" w:rsidRDefault="00F44D34" w14:paraId="10CA75B9"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731976" w:rsidR="00F44D34" w:rsidP="00F44D34" w:rsidRDefault="00F44D34" w14:paraId="4212FDA5" w14:textId="77777777">
            <w:pPr>
              <w:autoSpaceDE w:val="0"/>
              <w:autoSpaceDN w:val="0"/>
              <w:adjustRightInd w:val="0"/>
              <w:jc w:val="left"/>
              <w:rPr>
                <w:rFonts w:eastAsia="Calibri" w:asciiTheme="minorHAnsi" w:hAnsiTheme="minorHAnsi" w:cstheme="minorHAnsi"/>
                <w:sz w:val="22"/>
                <w:szCs w:val="22"/>
                <w:highlight w:val="yellow"/>
                <w:lang w:val="fr-FR" w:eastAsia="en-US"/>
              </w:rPr>
            </w:pPr>
            <w:r w:rsidRPr="00731976">
              <w:rPr>
                <w:rFonts w:eastAsia="Calibri" w:asciiTheme="minorHAnsi" w:hAnsiTheme="minorHAnsi" w:cstheme="minorHAnsi"/>
                <w:sz w:val="22"/>
                <w:szCs w:val="22"/>
                <w:lang w:eastAsia="en-US"/>
              </w:rPr>
              <w:t>Article 6</w:t>
            </w:r>
          </w:p>
        </w:tc>
        <w:tc>
          <w:tcPr>
            <w:tcW w:w="4253" w:type="dxa"/>
            <w:tcBorders>
              <w:bottom w:val="single" w:color="auto" w:sz="4" w:space="0"/>
            </w:tcBorders>
          </w:tcPr>
          <w:p w:rsidRPr="00731976" w:rsidR="00F44D34" w:rsidP="00F44D34" w:rsidRDefault="00F44D34" w14:paraId="6D9968B2" w14:textId="77777777">
            <w:pPr>
              <w:autoSpaceDE w:val="0"/>
              <w:autoSpaceDN w:val="0"/>
              <w:adjustRightInd w:val="0"/>
              <w:spacing w:before="40" w:after="40"/>
              <w:contextualSpacing/>
              <w:jc w:val="left"/>
              <w:rPr>
                <w:rFonts w:eastAsia="Calibri" w:asciiTheme="minorHAnsi" w:hAnsiTheme="minorHAnsi" w:cstheme="minorHAnsi"/>
                <w:sz w:val="22"/>
                <w:szCs w:val="22"/>
                <w:highlight w:val="yellow"/>
                <w:lang w:val="fr-FR" w:eastAsia="en-US"/>
              </w:rPr>
            </w:pPr>
            <w:r w:rsidRPr="00731976">
              <w:rPr>
                <w:rFonts w:eastAsia="Calibri" w:asciiTheme="minorHAnsi" w:hAnsiTheme="minorHAnsi" w:cstheme="minorHAnsi"/>
                <w:sz w:val="22"/>
                <w:szCs w:val="22"/>
                <w:lang w:val="fr-FR" w:eastAsia="en-US"/>
              </w:rPr>
              <w:t>Article 8</w:t>
            </w:r>
          </w:p>
        </w:tc>
      </w:tr>
      <w:tr w:rsidRPr="004E4C21" w:rsidR="00F44D34" w:rsidTr="007C056D" w14:paraId="5F91EFA4" w14:textId="77777777">
        <w:trPr>
          <w:gridAfter w:val="1"/>
          <w:wAfter w:w="15" w:type="dxa"/>
          <w:jc w:val="center"/>
        </w:trPr>
        <w:tc>
          <w:tcPr>
            <w:tcW w:w="2189" w:type="dxa"/>
          </w:tcPr>
          <w:p w:rsidRPr="00731976" w:rsidR="00F44D34" w:rsidP="00F44D34" w:rsidRDefault="00F44D34" w14:paraId="43F8535B"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Management </w:t>
            </w:r>
            <w:proofErr w:type="spellStart"/>
            <w:r w:rsidRPr="00731976">
              <w:rPr>
                <w:rFonts w:eastAsia="Calibri" w:asciiTheme="minorHAnsi" w:hAnsiTheme="minorHAnsi" w:cstheme="minorHAnsi"/>
                <w:b/>
                <w:sz w:val="22"/>
                <w:szCs w:val="22"/>
                <w:lang w:val="fr-FR" w:eastAsia="en-US"/>
              </w:rPr>
              <w:t>Company</w:t>
            </w:r>
            <w:proofErr w:type="spellEnd"/>
          </w:p>
        </w:tc>
        <w:tc>
          <w:tcPr>
            <w:tcW w:w="3827" w:type="dxa"/>
            <w:tcBorders>
              <w:bottom w:val="single" w:color="auto" w:sz="4" w:space="0"/>
            </w:tcBorders>
          </w:tcPr>
          <w:p w:rsidRPr="00731976" w:rsidR="00F44D34" w:rsidP="00F44D34" w:rsidRDefault="00F44D34" w14:paraId="28A2B4E8"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731976">
              <w:rPr>
                <w:rFonts w:eastAsia="Calibri" w:asciiTheme="minorHAnsi" w:hAnsiTheme="minorHAnsi" w:cstheme="minorHAnsi"/>
                <w:sz w:val="22"/>
                <w:szCs w:val="22"/>
                <w:lang w:val="de-DE" w:eastAsia="en-US"/>
              </w:rPr>
              <w:t xml:space="preserve">Limestone </w:t>
            </w:r>
            <w:proofErr w:type="spellStart"/>
            <w:r w:rsidRPr="00731976">
              <w:rPr>
                <w:rFonts w:eastAsia="Calibri" w:asciiTheme="minorHAnsi" w:hAnsiTheme="minorHAnsi" w:cstheme="minorHAnsi"/>
                <w:sz w:val="22"/>
                <w:szCs w:val="22"/>
                <w:lang w:val="de-DE" w:eastAsia="en-US"/>
              </w:rPr>
              <w:t>Platform</w:t>
            </w:r>
            <w:proofErr w:type="spellEnd"/>
            <w:r w:rsidRPr="00731976">
              <w:rPr>
                <w:rFonts w:eastAsia="Calibri" w:asciiTheme="minorHAnsi" w:hAnsiTheme="minorHAnsi" w:cstheme="minorHAnsi"/>
                <w:sz w:val="22"/>
                <w:szCs w:val="22"/>
                <w:lang w:val="de-DE" w:eastAsia="en-US"/>
              </w:rPr>
              <w:t xml:space="preserve"> AS</w:t>
            </w:r>
          </w:p>
        </w:tc>
        <w:tc>
          <w:tcPr>
            <w:tcW w:w="4253" w:type="dxa"/>
            <w:tcBorders>
              <w:bottom w:val="single" w:color="auto" w:sz="4" w:space="0"/>
            </w:tcBorders>
          </w:tcPr>
          <w:p w:rsidRPr="00731976" w:rsidR="00F44D34" w:rsidP="00F44D34" w:rsidRDefault="00F44D34" w14:paraId="050302E0"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731976">
              <w:rPr>
                <w:rFonts w:eastAsia="Calibri" w:asciiTheme="minorHAnsi" w:hAnsiTheme="minorHAnsi" w:cstheme="minorHAnsi"/>
                <w:sz w:val="22"/>
                <w:szCs w:val="22"/>
                <w:lang w:val="de-DE" w:eastAsia="en-US"/>
              </w:rPr>
              <w:t xml:space="preserve">Limestone </w:t>
            </w:r>
            <w:proofErr w:type="spellStart"/>
            <w:r w:rsidRPr="00731976">
              <w:rPr>
                <w:rFonts w:eastAsia="Calibri" w:asciiTheme="minorHAnsi" w:hAnsiTheme="minorHAnsi" w:cstheme="minorHAnsi"/>
                <w:sz w:val="22"/>
                <w:szCs w:val="22"/>
                <w:lang w:val="de-DE" w:eastAsia="en-US"/>
              </w:rPr>
              <w:t>Platform</w:t>
            </w:r>
            <w:proofErr w:type="spellEnd"/>
            <w:r w:rsidRPr="00731976">
              <w:rPr>
                <w:rFonts w:eastAsia="Calibri" w:asciiTheme="minorHAnsi" w:hAnsiTheme="minorHAnsi" w:cstheme="minorHAnsi"/>
                <w:sz w:val="22"/>
                <w:szCs w:val="22"/>
                <w:lang w:val="de-DE" w:eastAsia="en-US"/>
              </w:rPr>
              <w:t xml:space="preserve"> SA.</w:t>
            </w:r>
          </w:p>
        </w:tc>
      </w:tr>
      <w:tr w:rsidRPr="004E4C21" w:rsidR="00F44D34" w:rsidTr="007C056D" w14:paraId="5ACA0C82" w14:textId="77777777">
        <w:trPr>
          <w:gridAfter w:val="1"/>
          <w:wAfter w:w="15" w:type="dxa"/>
          <w:jc w:val="center"/>
        </w:trPr>
        <w:tc>
          <w:tcPr>
            <w:tcW w:w="2189" w:type="dxa"/>
          </w:tcPr>
          <w:p w:rsidRPr="00731976" w:rsidR="00F44D34" w:rsidP="00F44D34" w:rsidRDefault="00F44D34" w14:paraId="7CA33D1E"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731976" w:rsidR="00F44D34" w:rsidP="00F44D34" w:rsidRDefault="00F44D34" w14:paraId="1D6CA03C"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proofErr w:type="spellStart"/>
            <w:r w:rsidRPr="00731976">
              <w:rPr>
                <w:rFonts w:eastAsia="Calibri" w:asciiTheme="minorHAnsi" w:hAnsiTheme="minorHAnsi" w:cstheme="minorHAnsi"/>
                <w:sz w:val="22"/>
                <w:szCs w:val="22"/>
                <w:lang w:val="fr-FR" w:eastAsia="en-US"/>
              </w:rPr>
              <w:t>Driehaus</w:t>
            </w:r>
            <w:proofErr w:type="spellEnd"/>
            <w:r w:rsidRPr="00731976">
              <w:rPr>
                <w:rFonts w:eastAsia="Calibri" w:asciiTheme="minorHAnsi" w:hAnsiTheme="minorHAnsi" w:cstheme="minorHAnsi"/>
                <w:sz w:val="22"/>
                <w:szCs w:val="22"/>
                <w:lang w:val="fr-FR" w:eastAsia="en-US"/>
              </w:rPr>
              <w:t xml:space="preserve"> Capital Management LLC</w:t>
            </w:r>
          </w:p>
        </w:tc>
        <w:tc>
          <w:tcPr>
            <w:tcW w:w="4253" w:type="dxa"/>
            <w:tcBorders>
              <w:bottom w:val="single" w:color="auto" w:sz="4" w:space="0"/>
            </w:tcBorders>
          </w:tcPr>
          <w:p w:rsidRPr="00731976" w:rsidR="00F44D34" w:rsidP="00F44D34" w:rsidRDefault="00F44D34" w14:paraId="6B4BECD8"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Alquity Investment Management Limited</w:t>
            </w:r>
          </w:p>
        </w:tc>
      </w:tr>
      <w:tr w:rsidRPr="004E4C21" w:rsidR="00F44D34" w:rsidTr="007C056D" w14:paraId="7D68E8C8" w14:textId="77777777">
        <w:trPr>
          <w:gridAfter w:val="1"/>
          <w:wAfter w:w="15" w:type="dxa"/>
          <w:jc w:val="center"/>
        </w:trPr>
        <w:tc>
          <w:tcPr>
            <w:tcW w:w="2189" w:type="dxa"/>
          </w:tcPr>
          <w:p w:rsidRPr="00731976" w:rsidR="00F44D34" w:rsidP="00F44D34" w:rsidRDefault="00F44D34" w14:paraId="144EC2C0"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Base </w:t>
            </w:r>
            <w:proofErr w:type="spellStart"/>
            <w:r w:rsidRPr="00731976">
              <w:rPr>
                <w:rFonts w:eastAsia="Calibri" w:asciiTheme="minorHAnsi" w:hAnsiTheme="minorHAnsi" w:cstheme="minorHAnsi"/>
                <w:b/>
                <w:sz w:val="22"/>
                <w:szCs w:val="22"/>
                <w:lang w:val="fr-FR" w:eastAsia="en-US"/>
              </w:rPr>
              <w:t>currency</w:t>
            </w:r>
            <w:proofErr w:type="spellEnd"/>
          </w:p>
        </w:tc>
        <w:tc>
          <w:tcPr>
            <w:tcW w:w="3827" w:type="dxa"/>
            <w:tcBorders>
              <w:bottom w:val="single" w:color="auto" w:sz="4" w:space="0"/>
            </w:tcBorders>
          </w:tcPr>
          <w:p w:rsidRPr="00731976" w:rsidR="00F44D34" w:rsidP="00F44D34" w:rsidRDefault="00F44D34" w14:paraId="2C920C54"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USD</w:t>
            </w:r>
          </w:p>
        </w:tc>
        <w:tc>
          <w:tcPr>
            <w:tcW w:w="4253" w:type="dxa"/>
            <w:tcBorders>
              <w:bottom w:val="single" w:color="auto" w:sz="4" w:space="0"/>
            </w:tcBorders>
          </w:tcPr>
          <w:p w:rsidRPr="00731976" w:rsidR="00F44D34" w:rsidP="00F44D34" w:rsidRDefault="00F44D34" w14:paraId="79EFBE6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USD</w:t>
            </w:r>
          </w:p>
        </w:tc>
      </w:tr>
      <w:tr w:rsidRPr="004E4C21" w:rsidR="00F44D34" w:rsidTr="007C056D" w14:paraId="31C17EF1" w14:textId="77777777">
        <w:trPr>
          <w:gridAfter w:val="1"/>
          <w:wAfter w:w="15" w:type="dxa"/>
          <w:jc w:val="center"/>
        </w:trPr>
        <w:tc>
          <w:tcPr>
            <w:tcW w:w="2189" w:type="dxa"/>
          </w:tcPr>
          <w:p w:rsidRPr="00731976" w:rsidR="00F44D34" w:rsidP="00F44D34" w:rsidRDefault="00F44D34" w14:paraId="3CB73FA9"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Investor</w:t>
            </w:r>
            <w:proofErr w:type="spellEnd"/>
            <w:r w:rsidRPr="00731976">
              <w:rPr>
                <w:rFonts w:eastAsia="Calibri" w:asciiTheme="minorHAnsi" w:hAnsiTheme="minorHAnsi" w:cstheme="minorHAnsi"/>
                <w:b/>
                <w:sz w:val="22"/>
                <w:szCs w:val="22"/>
                <w:lang w:val="fr-FR" w:eastAsia="en-US"/>
              </w:rPr>
              <w:t xml:space="preserve"> Profile</w:t>
            </w:r>
          </w:p>
        </w:tc>
        <w:tc>
          <w:tcPr>
            <w:tcW w:w="3827" w:type="dxa"/>
            <w:tcBorders>
              <w:bottom w:val="single" w:color="auto" w:sz="4" w:space="0"/>
            </w:tcBorders>
          </w:tcPr>
          <w:p w:rsidRPr="00731976" w:rsidR="00F44D34" w:rsidP="00F44D34" w:rsidRDefault="00F44D34" w14:paraId="5D120BBD"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val="en-US" w:eastAsia="en-US"/>
              </w:rPr>
              <w:t xml:space="preserve">The Portfolio is suitable for investors seeking long-term growth through capital appreciation and who want to participate in the long-term growth of the emerging markets economy. It is also suitable for investors wishing to diversify their investment portfolios, who are comfortable with and understand the risks of investing in the emerging markets stocks, who have an </w:t>
            </w:r>
            <w:r w:rsidRPr="00731976">
              <w:rPr>
                <w:rFonts w:eastAsia="Calibri" w:asciiTheme="minorHAnsi" w:hAnsiTheme="minorHAnsi" w:cstheme="minorHAnsi"/>
                <w:sz w:val="22"/>
                <w:szCs w:val="22"/>
                <w:lang w:val="en-US" w:eastAsia="en-US"/>
              </w:rPr>
              <w:lastRenderedPageBreak/>
              <w:t>investment horizon of at least five to seven years, and who seek investment opportunities in the emerging markets.</w:t>
            </w:r>
          </w:p>
        </w:tc>
        <w:tc>
          <w:tcPr>
            <w:tcW w:w="4253" w:type="dxa"/>
            <w:tcBorders>
              <w:bottom w:val="single" w:color="auto" w:sz="4" w:space="0"/>
            </w:tcBorders>
          </w:tcPr>
          <w:p w:rsidRPr="00731976" w:rsidR="00F44D34" w:rsidP="00F44D34" w:rsidRDefault="00F44D34" w14:paraId="1859273B"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lastRenderedPageBreak/>
              <w:t>The sub-fund is suitable for investors who are prepared to accept a high level of risk and who plan to maintain their investment over a medium to long term period.</w:t>
            </w:r>
          </w:p>
          <w:p w:rsidRPr="00731976" w:rsidR="00F44D34" w:rsidP="00731976" w:rsidRDefault="00F44D34" w14:paraId="2F42C68B" w14:textId="77777777">
            <w:pPr>
              <w:pBdr>
                <w:bottom w:val="single" w:color="auto" w:sz="4" w:space="1"/>
              </w:pBdr>
              <w:rPr>
                <w:rFonts w:eastAsia="Arial Unicode MS" w:asciiTheme="minorHAnsi" w:hAnsiTheme="minorHAnsi" w:cstheme="minorHAnsi"/>
                <w:iCs/>
                <w:sz w:val="22"/>
                <w:szCs w:val="22"/>
                <w:lang w:eastAsia="en-US"/>
              </w:rPr>
            </w:pPr>
          </w:p>
          <w:p w:rsidRPr="00731976" w:rsidR="00F44D34" w:rsidP="00731976" w:rsidRDefault="00F44D34" w14:paraId="561654D6" w14:textId="42BF41DC">
            <w:pPr>
              <w:pBdr>
                <w:bottom w:val="single" w:color="auto" w:sz="4" w:space="1"/>
              </w:pBdr>
              <w:rPr>
                <w:rFonts w:eastAsia="Arial Unicode MS" w:asciiTheme="minorHAnsi" w:hAnsiTheme="minorHAnsi" w:cstheme="minorHAnsi"/>
                <w:b/>
                <w:i/>
                <w:iCs/>
                <w:sz w:val="22"/>
                <w:szCs w:val="22"/>
                <w:lang w:eastAsia="en-US"/>
              </w:rPr>
            </w:pPr>
            <w:r w:rsidRPr="00731976">
              <w:rPr>
                <w:rFonts w:eastAsia="Arial Unicode MS" w:asciiTheme="minorHAnsi" w:hAnsiTheme="minorHAnsi" w:cstheme="minorHAnsi"/>
                <w:iCs/>
                <w:sz w:val="22"/>
                <w:szCs w:val="22"/>
                <w:lang w:eastAsia="en-US"/>
              </w:rPr>
              <w:t xml:space="preserve">The sub-fund is suitable for all investors who seek </w:t>
            </w:r>
            <w:r w:rsidRPr="00731976">
              <w:rPr>
                <w:rFonts w:eastAsia="Arial Unicode MS" w:asciiTheme="minorHAnsi" w:hAnsiTheme="minorHAnsi" w:cstheme="minorHAnsi"/>
                <w:bCs/>
                <w:iCs/>
                <w:sz w:val="22"/>
                <w:szCs w:val="22"/>
                <w:lang w:eastAsia="en-US"/>
              </w:rPr>
              <w:t>long-term capital appreciation</w:t>
            </w:r>
            <w:r w:rsidRPr="00731976">
              <w:rPr>
                <w:rFonts w:eastAsia="Arial Unicode MS" w:asciiTheme="minorHAnsi" w:hAnsiTheme="minorHAnsi" w:cstheme="minorHAnsi"/>
                <w:b/>
                <w:iCs/>
                <w:sz w:val="22"/>
                <w:szCs w:val="22"/>
                <w:lang w:eastAsia="en-US"/>
              </w:rPr>
              <w:t xml:space="preserve"> </w:t>
            </w:r>
            <w:r w:rsidRPr="00731976">
              <w:rPr>
                <w:rFonts w:eastAsia="Arial Unicode MS" w:asciiTheme="minorHAnsi" w:hAnsiTheme="minorHAnsi" w:cstheme="minorHAnsi"/>
                <w:iCs/>
                <w:sz w:val="22"/>
                <w:szCs w:val="22"/>
                <w:lang w:eastAsia="en-US"/>
              </w:rPr>
              <w:t xml:space="preserve">as a core or component of a portfolio of investments. The sub-fund will allow ready access to the investment. The investor should be prepared </w:t>
            </w:r>
            <w:r w:rsidRPr="00731976">
              <w:rPr>
                <w:rFonts w:eastAsia="Arial Unicode MS" w:asciiTheme="minorHAnsi" w:hAnsiTheme="minorHAnsi" w:cstheme="minorHAnsi"/>
                <w:iCs/>
                <w:sz w:val="22"/>
                <w:szCs w:val="22"/>
                <w:lang w:eastAsia="en-US"/>
              </w:rPr>
              <w:lastRenderedPageBreak/>
              <w:t>to bear losses. The sub-fund may not be compatible for investors outside the target market.</w:t>
            </w:r>
          </w:p>
        </w:tc>
      </w:tr>
      <w:tr w:rsidRPr="004E4C21" w:rsidR="00F44D34" w:rsidTr="007C056D" w14:paraId="1711D0FD" w14:textId="77777777">
        <w:trPr>
          <w:gridAfter w:val="1"/>
          <w:wAfter w:w="15" w:type="dxa"/>
          <w:jc w:val="center"/>
        </w:trPr>
        <w:tc>
          <w:tcPr>
            <w:tcW w:w="2189" w:type="dxa"/>
          </w:tcPr>
          <w:p w:rsidRPr="00731976" w:rsidR="00F44D34" w:rsidP="00F44D34" w:rsidRDefault="00F44D34" w14:paraId="672FBE49"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lastRenderedPageBreak/>
              <w:t>Derivatives</w:t>
            </w:r>
            <w:proofErr w:type="spellEnd"/>
          </w:p>
        </w:tc>
        <w:tc>
          <w:tcPr>
            <w:tcW w:w="3827" w:type="dxa"/>
            <w:tcBorders>
              <w:bottom w:val="single" w:color="auto" w:sz="4" w:space="0"/>
            </w:tcBorders>
          </w:tcPr>
          <w:p w:rsidRPr="00731976" w:rsidR="00F44D34" w:rsidP="00F44D34" w:rsidRDefault="00F44D34" w14:paraId="2DA3F573" w14:textId="77777777">
            <w:pPr>
              <w:spacing w:before="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N/A</w:t>
            </w:r>
          </w:p>
        </w:tc>
        <w:tc>
          <w:tcPr>
            <w:tcW w:w="4253" w:type="dxa"/>
            <w:tcBorders>
              <w:bottom w:val="single" w:color="auto" w:sz="4" w:space="0"/>
            </w:tcBorders>
          </w:tcPr>
          <w:p w:rsidRPr="00731976" w:rsidR="00F44D34" w:rsidP="00F44D34" w:rsidRDefault="00F44D34" w14:paraId="060C0B15"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731976">
              <w:rPr>
                <w:rFonts w:eastAsia="Calibri" w:asciiTheme="minorHAnsi" w:hAnsiTheme="minorHAnsi" w:cstheme="minorHAnsi"/>
                <w:sz w:val="22"/>
                <w:szCs w:val="22"/>
                <w:lang w:eastAsia="en-US"/>
              </w:rPr>
              <w:t>The Sub-fund may use derivatives for efficient portfolio management.</w:t>
            </w:r>
          </w:p>
        </w:tc>
      </w:tr>
      <w:tr w:rsidRPr="004E4C21" w:rsidR="00F44D34" w:rsidTr="007C056D" w14:paraId="4708ADC3" w14:textId="77777777">
        <w:trPr>
          <w:gridAfter w:val="1"/>
          <w:wAfter w:w="15" w:type="dxa"/>
          <w:trHeight w:val="536"/>
          <w:jc w:val="center"/>
        </w:trPr>
        <w:tc>
          <w:tcPr>
            <w:tcW w:w="2189" w:type="dxa"/>
          </w:tcPr>
          <w:p w:rsidRPr="00731976" w:rsidR="00F44D34" w:rsidP="00F44D34" w:rsidRDefault="00F44D34" w14:paraId="218B41C5"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Risk Management </w:t>
            </w:r>
            <w:proofErr w:type="spellStart"/>
            <w:r w:rsidRPr="00731976">
              <w:rPr>
                <w:rFonts w:eastAsia="Calibri" w:asciiTheme="minorHAnsi" w:hAnsiTheme="minorHAnsi" w:cstheme="minorHAnsi"/>
                <w:b/>
                <w:sz w:val="22"/>
                <w:szCs w:val="22"/>
                <w:lang w:val="fr-FR" w:eastAsia="en-US"/>
              </w:rPr>
              <w:t>Approach</w:t>
            </w:r>
            <w:proofErr w:type="spellEnd"/>
          </w:p>
        </w:tc>
        <w:tc>
          <w:tcPr>
            <w:tcW w:w="3827" w:type="dxa"/>
            <w:tcBorders>
              <w:bottom w:val="single" w:color="auto" w:sz="4" w:space="0"/>
            </w:tcBorders>
          </w:tcPr>
          <w:p w:rsidRPr="00731976" w:rsidR="00F44D34" w:rsidP="00F44D34" w:rsidRDefault="00F44D34" w14:paraId="7666DD75"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proofErr w:type="spellStart"/>
            <w:r w:rsidRPr="00731976">
              <w:rPr>
                <w:rFonts w:eastAsia="Calibri" w:asciiTheme="minorHAnsi" w:hAnsiTheme="minorHAnsi" w:cstheme="minorHAnsi"/>
                <w:sz w:val="22"/>
                <w:szCs w:val="22"/>
                <w:lang w:val="fr-FR" w:eastAsia="en-US"/>
              </w:rPr>
              <w:t>Commitment</w:t>
            </w:r>
            <w:proofErr w:type="spellEnd"/>
            <w:r w:rsidRPr="00731976">
              <w:rPr>
                <w:rFonts w:eastAsia="Calibri" w:asciiTheme="minorHAnsi" w:hAnsiTheme="minorHAnsi" w:cstheme="minorHAnsi"/>
                <w:sz w:val="22"/>
                <w:szCs w:val="22"/>
                <w:lang w:val="fr-FR" w:eastAsia="en-US"/>
              </w:rPr>
              <w:t xml:space="preserve"> </w:t>
            </w:r>
            <w:proofErr w:type="spellStart"/>
            <w:r w:rsidRPr="00731976">
              <w:rPr>
                <w:rFonts w:eastAsia="Calibri" w:asciiTheme="minorHAnsi" w:hAnsiTheme="minorHAnsi" w:cstheme="minorHAnsi"/>
                <w:sz w:val="22"/>
                <w:szCs w:val="22"/>
                <w:lang w:val="fr-FR" w:eastAsia="en-US"/>
              </w:rPr>
              <w:t>method</w:t>
            </w:r>
            <w:proofErr w:type="spellEnd"/>
            <w:r w:rsidRPr="00731976">
              <w:rPr>
                <w:rFonts w:eastAsia="Calibri" w:asciiTheme="minorHAnsi" w:hAnsiTheme="minorHAnsi" w:cstheme="minorHAnsi"/>
                <w:sz w:val="22"/>
                <w:szCs w:val="22"/>
                <w:lang w:val="fr-FR" w:eastAsia="en-US"/>
              </w:rPr>
              <w:t xml:space="preserve"> </w:t>
            </w:r>
          </w:p>
        </w:tc>
        <w:tc>
          <w:tcPr>
            <w:tcW w:w="4253" w:type="dxa"/>
            <w:tcBorders>
              <w:bottom w:val="single" w:color="auto" w:sz="4" w:space="0"/>
            </w:tcBorders>
          </w:tcPr>
          <w:p w:rsidRPr="00731976" w:rsidR="00F44D34" w:rsidP="00F44D34" w:rsidRDefault="00F44D34" w14:paraId="634AC8D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val="fr-FR" w:eastAsia="en-US"/>
              </w:rPr>
              <w:t xml:space="preserve"> </w:t>
            </w:r>
            <w:proofErr w:type="spellStart"/>
            <w:r w:rsidRPr="00731976">
              <w:rPr>
                <w:rFonts w:eastAsia="Calibri" w:asciiTheme="minorHAnsi" w:hAnsiTheme="minorHAnsi" w:cstheme="minorHAnsi"/>
                <w:sz w:val="22"/>
                <w:szCs w:val="22"/>
                <w:lang w:val="fr-FR" w:eastAsia="en-US"/>
              </w:rPr>
              <w:t>Commitment</w:t>
            </w:r>
            <w:proofErr w:type="spellEnd"/>
            <w:r w:rsidRPr="00731976">
              <w:rPr>
                <w:rFonts w:eastAsia="Calibri" w:asciiTheme="minorHAnsi" w:hAnsiTheme="minorHAnsi" w:cstheme="minorHAnsi"/>
                <w:sz w:val="22"/>
                <w:szCs w:val="22"/>
                <w:lang w:val="fr-FR" w:eastAsia="en-US"/>
              </w:rPr>
              <w:t xml:space="preserve"> </w:t>
            </w:r>
            <w:proofErr w:type="spellStart"/>
            <w:r w:rsidRPr="00731976">
              <w:rPr>
                <w:rFonts w:eastAsia="Calibri" w:asciiTheme="minorHAnsi" w:hAnsiTheme="minorHAnsi" w:cstheme="minorHAnsi"/>
                <w:sz w:val="22"/>
                <w:szCs w:val="22"/>
                <w:lang w:val="fr-FR" w:eastAsia="en-US"/>
              </w:rPr>
              <w:t>method</w:t>
            </w:r>
            <w:proofErr w:type="spellEnd"/>
            <w:r w:rsidRPr="00731976">
              <w:rPr>
                <w:rFonts w:eastAsia="Calibri" w:asciiTheme="minorHAnsi" w:hAnsiTheme="minorHAnsi" w:cstheme="minorHAnsi"/>
                <w:sz w:val="22"/>
                <w:szCs w:val="22"/>
                <w:lang w:val="fr-FR" w:eastAsia="en-US"/>
              </w:rPr>
              <w:t xml:space="preserve"> </w:t>
            </w:r>
          </w:p>
        </w:tc>
      </w:tr>
      <w:tr w:rsidRPr="004E4C21" w:rsidR="00F44D34" w:rsidTr="007C056D" w14:paraId="61250621" w14:textId="77777777">
        <w:trPr>
          <w:gridAfter w:val="1"/>
          <w:wAfter w:w="15" w:type="dxa"/>
          <w:trHeight w:val="469"/>
          <w:jc w:val="center"/>
        </w:trPr>
        <w:tc>
          <w:tcPr>
            <w:tcW w:w="2189" w:type="dxa"/>
          </w:tcPr>
          <w:p w:rsidRPr="00731976" w:rsidR="00F44D34" w:rsidP="00F44D34" w:rsidRDefault="00F44D34" w14:paraId="32FEE5C3" w14:textId="77777777">
            <w:pPr>
              <w:spacing w:before="40" w:after="40"/>
              <w:jc w:val="left"/>
              <w:rPr>
                <w:rFonts w:eastAsia="Calibri" w:asciiTheme="minorHAnsi" w:hAnsiTheme="minorHAnsi" w:cstheme="minorHAnsi"/>
                <w:b/>
                <w:sz w:val="22"/>
                <w:szCs w:val="22"/>
                <w:lang w:eastAsia="en-US"/>
              </w:rPr>
            </w:pPr>
            <w:r w:rsidRPr="00731976">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731976" w:rsidR="00F44D34" w:rsidP="00F44D34" w:rsidRDefault="00EC3A47" w14:paraId="77C12E19" w14:textId="246D22D9">
            <w:pPr>
              <w:autoSpaceDE w:val="0"/>
              <w:autoSpaceDN w:val="0"/>
              <w:adjustRightInd w:val="0"/>
              <w:spacing w:before="40"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4</w:t>
            </w:r>
          </w:p>
        </w:tc>
        <w:tc>
          <w:tcPr>
            <w:tcW w:w="4253" w:type="dxa"/>
            <w:tcBorders>
              <w:bottom w:val="single" w:color="auto" w:sz="4" w:space="0"/>
            </w:tcBorders>
          </w:tcPr>
          <w:p w:rsidRPr="00731976" w:rsidR="00F44D34" w:rsidP="00F44D34" w:rsidRDefault="00EC3A47" w14:paraId="49126121" w14:textId="445540FE">
            <w:pPr>
              <w:spacing w:after="60"/>
              <w:jc w:val="left"/>
              <w:rPr>
                <w:rFonts w:eastAsia="Calibri" w:asciiTheme="minorHAnsi" w:hAnsiTheme="minorHAnsi" w:cstheme="minorHAnsi"/>
                <w:iCs/>
                <w:sz w:val="22"/>
                <w:szCs w:val="22"/>
                <w:lang w:val="en-US" w:eastAsia="en-US"/>
              </w:rPr>
            </w:pPr>
            <w:r>
              <w:rPr>
                <w:rFonts w:eastAsia="Calibri" w:asciiTheme="minorHAnsi" w:hAnsiTheme="minorHAnsi" w:cstheme="minorHAnsi"/>
                <w:sz w:val="22"/>
                <w:szCs w:val="22"/>
                <w:lang w:eastAsia="en-US"/>
              </w:rPr>
              <w:t>4</w:t>
            </w:r>
          </w:p>
        </w:tc>
      </w:tr>
      <w:tr w:rsidRPr="004E4C21" w:rsidR="00F44D34" w:rsidTr="007C056D" w14:paraId="4BFF867E" w14:textId="77777777">
        <w:trPr>
          <w:gridAfter w:val="1"/>
          <w:wAfter w:w="15" w:type="dxa"/>
          <w:trHeight w:val="1213"/>
          <w:jc w:val="center"/>
        </w:trPr>
        <w:tc>
          <w:tcPr>
            <w:tcW w:w="2189" w:type="dxa"/>
            <w:tcBorders>
              <w:bottom w:val="single" w:color="auto" w:sz="4" w:space="0"/>
            </w:tcBorders>
          </w:tcPr>
          <w:p w:rsidRPr="00731976" w:rsidR="00F44D34" w:rsidP="00F44D34" w:rsidRDefault="00F44D34" w14:paraId="64690357"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Pr="006F242D" w:rsidR="00F44D34" w:rsidP="00F44D34" w:rsidRDefault="006F242D" w14:paraId="2B12F160" w14:textId="2EBC777F">
            <w:pPr>
              <w:spacing w:before="40"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For class A USD:</w:t>
            </w:r>
            <w:r>
              <w:rPr>
                <w:rFonts w:eastAsia="Calibri" w:asciiTheme="minorHAnsi" w:hAnsiTheme="minorHAnsi" w:cstheme="minorHAnsi"/>
                <w:sz w:val="22"/>
                <w:szCs w:val="22"/>
                <w:lang w:eastAsia="en-US"/>
              </w:rPr>
              <w:t xml:space="preserve"> USD 10,000</w:t>
            </w:r>
          </w:p>
          <w:p w:rsidRPr="006F242D" w:rsidR="006F242D" w:rsidP="00F44D34" w:rsidRDefault="006F242D" w14:paraId="736C7A5B" w14:textId="3EED7D39">
            <w:pPr>
              <w:spacing w:before="40" w:after="40"/>
              <w:jc w:val="left"/>
              <w:rPr>
                <w:rFonts w:eastAsia="Calibri" w:asciiTheme="minorHAnsi" w:hAnsiTheme="minorHAnsi" w:cstheme="minorHAnsi"/>
                <w:sz w:val="22"/>
                <w:szCs w:val="22"/>
                <w:lang w:eastAsia="en-US"/>
              </w:rPr>
            </w:pPr>
            <w:r w:rsidRPr="006F242D">
              <w:rPr>
                <w:rFonts w:eastAsia="Calibri" w:asciiTheme="minorHAnsi" w:hAnsiTheme="minorHAnsi" w:cstheme="minorHAnsi"/>
                <w:sz w:val="22"/>
                <w:szCs w:val="22"/>
                <w:lang w:eastAsia="en-US"/>
              </w:rPr>
              <w:t>For class B USD:</w:t>
            </w:r>
            <w:r>
              <w:rPr>
                <w:rFonts w:eastAsia="Calibri" w:asciiTheme="minorHAnsi" w:hAnsiTheme="minorHAnsi" w:cstheme="minorHAnsi"/>
                <w:sz w:val="22"/>
                <w:szCs w:val="22"/>
                <w:lang w:eastAsia="en-US"/>
              </w:rPr>
              <w:t xml:space="preserve"> USD 20,000</w:t>
            </w:r>
          </w:p>
          <w:p w:rsidRPr="00A653D7" w:rsidR="006F242D" w:rsidP="00F44D34" w:rsidRDefault="006F242D" w14:paraId="2BB21B44" w14:textId="0766E043">
            <w:pPr>
              <w:spacing w:before="40" w:after="40"/>
              <w:jc w:val="left"/>
              <w:rPr>
                <w:rFonts w:eastAsia="Calibri" w:asciiTheme="minorHAnsi" w:hAnsiTheme="minorHAnsi" w:cstheme="minorHAnsi"/>
                <w:sz w:val="22"/>
                <w:szCs w:val="22"/>
                <w:lang w:eastAsia="en-US"/>
              </w:rPr>
            </w:pPr>
            <w:r w:rsidRPr="006F242D">
              <w:rPr>
                <w:rFonts w:eastAsia="Calibri" w:asciiTheme="minorHAnsi" w:hAnsiTheme="minorHAnsi" w:cstheme="minorHAnsi"/>
                <w:sz w:val="22"/>
                <w:szCs w:val="22"/>
                <w:lang w:eastAsia="en-US"/>
              </w:rPr>
              <w:t>For class E USD:</w:t>
            </w:r>
            <w:r>
              <w:rPr>
                <w:rFonts w:eastAsia="Calibri" w:asciiTheme="minorHAnsi" w:hAnsiTheme="minorHAnsi" w:cstheme="minorHAnsi"/>
                <w:sz w:val="22"/>
                <w:szCs w:val="22"/>
                <w:lang w:eastAsia="en-US"/>
              </w:rPr>
              <w:t xml:space="preserve"> USD 5,000,000</w:t>
            </w:r>
          </w:p>
        </w:tc>
        <w:tc>
          <w:tcPr>
            <w:tcW w:w="4253" w:type="dxa"/>
            <w:tcBorders>
              <w:bottom w:val="single" w:color="auto" w:sz="4" w:space="0"/>
            </w:tcBorders>
          </w:tcPr>
          <w:p w:rsidRPr="00CA6F5B" w:rsidR="00F44D34" w:rsidP="00F44D34" w:rsidRDefault="00CA6F5B" w14:paraId="5D0E955C" w14:textId="0F411AE2">
            <w:pPr>
              <w:spacing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For class R USD:</w:t>
            </w:r>
            <w:r>
              <w:rPr>
                <w:rFonts w:eastAsia="Calibri" w:asciiTheme="minorHAnsi" w:hAnsiTheme="minorHAnsi" w:cstheme="minorHAnsi"/>
                <w:sz w:val="22"/>
                <w:szCs w:val="22"/>
                <w:lang w:eastAsia="en-US"/>
              </w:rPr>
              <w:t xml:space="preserve"> USD 5,000</w:t>
            </w:r>
          </w:p>
          <w:p w:rsidRPr="00CA6F5B" w:rsidR="00CA6F5B" w:rsidP="00F44D34" w:rsidRDefault="00CA6F5B" w14:paraId="310EF1D0" w14:textId="796909B8">
            <w:pPr>
              <w:spacing w:after="40"/>
              <w:jc w:val="left"/>
              <w:rPr>
                <w:rFonts w:eastAsia="Calibri" w:asciiTheme="minorHAnsi" w:hAnsiTheme="minorHAnsi" w:cstheme="minorHAnsi"/>
                <w:sz w:val="22"/>
                <w:szCs w:val="22"/>
                <w:lang w:eastAsia="en-US"/>
              </w:rPr>
            </w:pPr>
            <w:r w:rsidRPr="00CA6F5B">
              <w:rPr>
                <w:rFonts w:eastAsia="Calibri" w:asciiTheme="minorHAnsi" w:hAnsiTheme="minorHAnsi" w:cstheme="minorHAnsi"/>
                <w:sz w:val="22"/>
                <w:szCs w:val="22"/>
                <w:lang w:eastAsia="en-US"/>
              </w:rPr>
              <w:t>For class Y GBP:</w:t>
            </w:r>
            <w:r>
              <w:rPr>
                <w:rFonts w:eastAsia="Calibri" w:asciiTheme="minorHAnsi" w:hAnsiTheme="minorHAnsi" w:cstheme="minorHAnsi"/>
                <w:sz w:val="22"/>
                <w:szCs w:val="22"/>
                <w:lang w:eastAsia="en-US"/>
              </w:rPr>
              <w:t xml:space="preserve"> GBP </w:t>
            </w:r>
            <w:r w:rsidRPr="00CA6F5B">
              <w:rPr>
                <w:rFonts w:eastAsia="Calibri" w:asciiTheme="minorHAnsi" w:hAnsiTheme="minorHAnsi" w:cstheme="minorHAnsi"/>
                <w:sz w:val="22"/>
                <w:szCs w:val="22"/>
                <w:lang w:eastAsia="en-US"/>
              </w:rPr>
              <w:t>2,500,000</w:t>
            </w:r>
          </w:p>
          <w:p w:rsidRPr="00731976" w:rsidR="00CA6F5B" w:rsidP="00F44D34" w:rsidRDefault="00CA6F5B" w14:paraId="6ACCC070" w14:textId="7B74C675">
            <w:pPr>
              <w:spacing w:after="40"/>
              <w:jc w:val="left"/>
              <w:rPr>
                <w:rFonts w:eastAsia="Calibri" w:asciiTheme="minorHAnsi" w:hAnsiTheme="minorHAnsi" w:cstheme="minorHAnsi"/>
                <w:sz w:val="22"/>
                <w:szCs w:val="22"/>
                <w:lang w:val="en-US" w:eastAsia="en-US"/>
              </w:rPr>
            </w:pPr>
            <w:r w:rsidRPr="00CA6F5B">
              <w:rPr>
                <w:rFonts w:eastAsia="Calibri" w:asciiTheme="minorHAnsi" w:hAnsiTheme="minorHAnsi" w:cstheme="minorHAnsi"/>
                <w:sz w:val="22"/>
                <w:szCs w:val="22"/>
                <w:lang w:eastAsia="en-US"/>
              </w:rPr>
              <w:t>For class Y USD:</w:t>
            </w:r>
            <w:r>
              <w:rPr>
                <w:rFonts w:eastAsia="Calibri" w:asciiTheme="minorHAnsi" w:hAnsiTheme="minorHAnsi" w:cstheme="minorHAnsi"/>
                <w:sz w:val="22"/>
                <w:szCs w:val="22"/>
                <w:lang w:eastAsia="en-US"/>
              </w:rPr>
              <w:t xml:space="preserve"> USD </w:t>
            </w:r>
            <w:r w:rsidRPr="00CA6F5B">
              <w:rPr>
                <w:rFonts w:eastAsia="Calibri" w:asciiTheme="minorHAnsi" w:hAnsiTheme="minorHAnsi" w:cstheme="minorHAnsi"/>
                <w:sz w:val="22"/>
                <w:szCs w:val="22"/>
                <w:lang w:eastAsia="en-US"/>
              </w:rPr>
              <w:t>5,000,000</w:t>
            </w:r>
          </w:p>
        </w:tc>
      </w:tr>
      <w:tr w:rsidRPr="004E4C21" w:rsidR="00F44D34" w:rsidTr="007C056D" w14:paraId="19B83150" w14:textId="77777777">
        <w:trPr>
          <w:gridAfter w:val="1"/>
          <w:wAfter w:w="15" w:type="dxa"/>
          <w:jc w:val="center"/>
        </w:trPr>
        <w:tc>
          <w:tcPr>
            <w:tcW w:w="2189" w:type="dxa"/>
            <w:tcBorders>
              <w:bottom w:val="single" w:color="auto" w:sz="4" w:space="0"/>
            </w:tcBorders>
          </w:tcPr>
          <w:p w:rsidRPr="00731976" w:rsidR="00F44D34" w:rsidP="00F44D34" w:rsidRDefault="00F44D34" w14:paraId="24D768B7"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Minimum </w:t>
            </w:r>
            <w:proofErr w:type="spellStart"/>
            <w:r w:rsidRPr="00731976">
              <w:rPr>
                <w:rFonts w:eastAsia="Calibri" w:asciiTheme="minorHAnsi" w:hAnsiTheme="minorHAnsi" w:cstheme="minorHAnsi"/>
                <w:b/>
                <w:sz w:val="22"/>
                <w:szCs w:val="22"/>
                <w:lang w:val="fr-FR" w:eastAsia="en-US"/>
              </w:rPr>
              <w:t>subsequent</w:t>
            </w:r>
            <w:proofErr w:type="spellEnd"/>
            <w:r w:rsidRPr="00731976">
              <w:rPr>
                <w:rFonts w:eastAsia="Calibri" w:asciiTheme="minorHAnsi" w:hAnsiTheme="minorHAnsi" w:cstheme="minorHAnsi"/>
                <w:b/>
                <w:sz w:val="22"/>
                <w:szCs w:val="22"/>
                <w:lang w:val="fr-FR" w:eastAsia="en-US"/>
              </w:rPr>
              <w:t xml:space="preserve"> holding</w:t>
            </w:r>
          </w:p>
        </w:tc>
        <w:tc>
          <w:tcPr>
            <w:tcW w:w="3827" w:type="dxa"/>
            <w:tcBorders>
              <w:bottom w:val="single" w:color="auto" w:sz="4" w:space="0"/>
            </w:tcBorders>
          </w:tcPr>
          <w:p w:rsidRPr="006F242D" w:rsidR="00F44D34" w:rsidP="00F44D34" w:rsidRDefault="006F242D" w14:paraId="1802F86F" w14:textId="4FB0F81D">
            <w:pPr>
              <w:spacing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For class A USD:</w:t>
            </w:r>
            <w:r>
              <w:rPr>
                <w:rFonts w:eastAsia="Calibri" w:asciiTheme="minorHAnsi" w:hAnsiTheme="minorHAnsi" w:cstheme="minorHAnsi"/>
                <w:sz w:val="22"/>
                <w:szCs w:val="22"/>
                <w:lang w:eastAsia="en-US"/>
              </w:rPr>
              <w:t xml:space="preserve"> USD 1,000</w:t>
            </w:r>
          </w:p>
          <w:p w:rsidRPr="006F242D" w:rsidR="006F242D" w:rsidP="00F44D34" w:rsidRDefault="006F242D" w14:paraId="79F58933" w14:textId="1F96484B">
            <w:pPr>
              <w:spacing w:after="40"/>
              <w:jc w:val="left"/>
              <w:rPr>
                <w:rFonts w:eastAsia="Calibri" w:asciiTheme="minorHAnsi" w:hAnsiTheme="minorHAnsi" w:cstheme="minorHAnsi"/>
                <w:sz w:val="22"/>
                <w:szCs w:val="22"/>
                <w:lang w:eastAsia="en-US"/>
              </w:rPr>
            </w:pPr>
            <w:r w:rsidRPr="006F242D">
              <w:rPr>
                <w:rFonts w:eastAsia="Calibri" w:asciiTheme="minorHAnsi" w:hAnsiTheme="minorHAnsi" w:cstheme="minorHAnsi"/>
                <w:sz w:val="22"/>
                <w:szCs w:val="22"/>
                <w:lang w:eastAsia="en-US"/>
              </w:rPr>
              <w:t>For class B USD:</w:t>
            </w:r>
            <w:r>
              <w:rPr>
                <w:rFonts w:eastAsia="Calibri" w:asciiTheme="minorHAnsi" w:hAnsiTheme="minorHAnsi" w:cstheme="minorHAnsi"/>
                <w:sz w:val="22"/>
                <w:szCs w:val="22"/>
                <w:lang w:eastAsia="en-US"/>
              </w:rPr>
              <w:t xml:space="preserve"> USD 2,000</w:t>
            </w:r>
          </w:p>
          <w:p w:rsidRPr="00731976" w:rsidR="006F242D" w:rsidP="00F44D34" w:rsidRDefault="006F242D" w14:paraId="76D8FF42" w14:textId="7F3B2CD6">
            <w:pPr>
              <w:spacing w:after="40"/>
              <w:jc w:val="left"/>
              <w:rPr>
                <w:rFonts w:eastAsia="Calibri" w:asciiTheme="minorHAnsi" w:hAnsiTheme="minorHAnsi" w:cstheme="minorHAnsi"/>
                <w:sz w:val="22"/>
                <w:szCs w:val="22"/>
                <w:lang w:val="en-US" w:eastAsia="en-US"/>
              </w:rPr>
            </w:pPr>
            <w:r w:rsidRPr="006F242D">
              <w:rPr>
                <w:rFonts w:eastAsia="Calibri" w:asciiTheme="minorHAnsi" w:hAnsiTheme="minorHAnsi" w:cstheme="minorHAnsi"/>
                <w:sz w:val="22"/>
                <w:szCs w:val="22"/>
                <w:lang w:eastAsia="en-US"/>
              </w:rPr>
              <w:t>For class E USD:</w:t>
            </w:r>
            <w:r>
              <w:rPr>
                <w:rFonts w:eastAsia="Calibri" w:asciiTheme="minorHAnsi" w:hAnsiTheme="minorHAnsi" w:cstheme="minorHAnsi"/>
                <w:sz w:val="22"/>
                <w:szCs w:val="22"/>
                <w:lang w:eastAsia="en-US"/>
              </w:rPr>
              <w:t xml:space="preserve"> USD 500,000</w:t>
            </w:r>
          </w:p>
        </w:tc>
        <w:tc>
          <w:tcPr>
            <w:tcW w:w="4253" w:type="dxa"/>
            <w:tcBorders>
              <w:bottom w:val="single" w:color="auto" w:sz="4" w:space="0"/>
            </w:tcBorders>
          </w:tcPr>
          <w:p w:rsidRPr="00CA6F5B" w:rsidR="00CA6F5B" w:rsidP="00CA6F5B" w:rsidRDefault="00CA6F5B" w14:paraId="51D572C8" w14:textId="532B4A39">
            <w:pPr>
              <w:spacing w:after="40"/>
              <w:jc w:val="left"/>
              <w:rPr>
                <w:rFonts w:eastAsia="Calibri" w:asciiTheme="minorHAnsi" w:hAnsiTheme="minorHAnsi" w:cstheme="minorHAnsi"/>
                <w:sz w:val="22"/>
                <w:szCs w:val="22"/>
                <w:lang w:eastAsia="en-US"/>
              </w:rPr>
            </w:pPr>
            <w:r w:rsidRPr="00072145">
              <w:rPr>
                <w:rFonts w:eastAsia="Calibri" w:asciiTheme="minorHAnsi" w:hAnsiTheme="minorHAnsi" w:cstheme="minorHAnsi"/>
                <w:sz w:val="22"/>
                <w:szCs w:val="22"/>
                <w:lang w:eastAsia="en-US"/>
              </w:rPr>
              <w:t>For class R USD:</w:t>
            </w:r>
            <w:r>
              <w:rPr>
                <w:rFonts w:eastAsia="Calibri" w:asciiTheme="minorHAnsi" w:hAnsiTheme="minorHAnsi" w:cstheme="minorHAnsi"/>
                <w:sz w:val="22"/>
                <w:szCs w:val="22"/>
                <w:lang w:eastAsia="en-US"/>
              </w:rPr>
              <w:t xml:space="preserve"> USD 5,000</w:t>
            </w:r>
          </w:p>
          <w:p w:rsidRPr="00CA6F5B" w:rsidR="00CA6F5B" w:rsidP="00CA6F5B" w:rsidRDefault="00CA6F5B" w14:paraId="04A1359B" w14:textId="1A9F5D53">
            <w:pPr>
              <w:spacing w:after="40"/>
              <w:jc w:val="left"/>
              <w:rPr>
                <w:rFonts w:eastAsia="Calibri" w:asciiTheme="minorHAnsi" w:hAnsiTheme="minorHAnsi" w:cstheme="minorHAnsi"/>
                <w:sz w:val="22"/>
                <w:szCs w:val="22"/>
                <w:lang w:eastAsia="en-US"/>
              </w:rPr>
            </w:pPr>
            <w:r w:rsidRPr="00CA6F5B">
              <w:rPr>
                <w:rFonts w:eastAsia="Calibri" w:asciiTheme="minorHAnsi" w:hAnsiTheme="minorHAnsi" w:cstheme="minorHAnsi"/>
                <w:sz w:val="22"/>
                <w:szCs w:val="22"/>
                <w:lang w:eastAsia="en-US"/>
              </w:rPr>
              <w:t>For class Y GBP:</w:t>
            </w:r>
            <w:r>
              <w:rPr>
                <w:rFonts w:eastAsia="Calibri" w:asciiTheme="minorHAnsi" w:hAnsiTheme="minorHAnsi" w:cstheme="minorHAnsi"/>
                <w:sz w:val="22"/>
                <w:szCs w:val="22"/>
                <w:lang w:eastAsia="en-US"/>
              </w:rPr>
              <w:t xml:space="preserve"> GBP 1,000</w:t>
            </w:r>
          </w:p>
          <w:p w:rsidRPr="00731976" w:rsidR="00F44D34" w:rsidP="00CA6F5B" w:rsidRDefault="00CA6F5B" w14:paraId="7DC56B74" w14:textId="3ECB56CE">
            <w:pPr>
              <w:spacing w:after="40"/>
              <w:jc w:val="left"/>
              <w:rPr>
                <w:rFonts w:eastAsia="Calibri" w:asciiTheme="minorHAnsi" w:hAnsiTheme="minorHAnsi" w:cstheme="minorHAnsi"/>
                <w:sz w:val="22"/>
                <w:szCs w:val="22"/>
                <w:lang w:val="en-US" w:eastAsia="en-US"/>
              </w:rPr>
            </w:pPr>
            <w:r w:rsidRPr="00CA6F5B">
              <w:rPr>
                <w:rFonts w:eastAsia="Calibri" w:asciiTheme="minorHAnsi" w:hAnsiTheme="minorHAnsi" w:cstheme="minorHAnsi"/>
                <w:sz w:val="22"/>
                <w:szCs w:val="22"/>
                <w:lang w:eastAsia="en-US"/>
              </w:rPr>
              <w:t>For class Y USD:</w:t>
            </w:r>
            <w:r>
              <w:rPr>
                <w:rFonts w:eastAsia="Calibri" w:asciiTheme="minorHAnsi" w:hAnsiTheme="minorHAnsi" w:cstheme="minorHAnsi"/>
                <w:sz w:val="22"/>
                <w:szCs w:val="22"/>
                <w:lang w:eastAsia="en-US"/>
              </w:rPr>
              <w:t xml:space="preserve"> USD 1,000</w:t>
            </w:r>
          </w:p>
        </w:tc>
      </w:tr>
      <w:tr w:rsidRPr="004E4C21" w:rsidR="00F44D34" w:rsidTr="007C056D" w14:paraId="51E456C7" w14:textId="77777777">
        <w:trPr>
          <w:jc w:val="center"/>
        </w:trPr>
        <w:tc>
          <w:tcPr>
            <w:tcW w:w="2189" w:type="dxa"/>
            <w:tcBorders>
              <w:bottom w:val="single" w:color="auto" w:sz="4" w:space="0"/>
            </w:tcBorders>
          </w:tcPr>
          <w:p w:rsidRPr="00731976" w:rsidR="00F44D34" w:rsidP="00F44D34" w:rsidRDefault="00F44D34" w14:paraId="4A487A64"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Accounting</w:t>
            </w:r>
            <w:proofErr w:type="spellEnd"/>
            <w:r w:rsidRPr="00731976">
              <w:rPr>
                <w:rFonts w:eastAsia="Calibri" w:asciiTheme="minorHAnsi" w:hAnsiTheme="minorHAnsi" w:cstheme="minorHAnsi"/>
                <w:b/>
                <w:sz w:val="22"/>
                <w:szCs w:val="22"/>
                <w:lang w:val="fr-FR" w:eastAsia="en-US"/>
              </w:rPr>
              <w:t xml:space="preserve"> </w:t>
            </w:r>
            <w:proofErr w:type="spellStart"/>
            <w:r w:rsidRPr="00731976">
              <w:rPr>
                <w:rFonts w:eastAsia="Calibri" w:asciiTheme="minorHAnsi" w:hAnsiTheme="minorHAnsi" w:cstheme="minorHAnsi"/>
                <w:b/>
                <w:sz w:val="22"/>
                <w:szCs w:val="22"/>
                <w:lang w:val="fr-FR" w:eastAsia="en-US"/>
              </w:rPr>
              <w:t>period</w:t>
            </w:r>
            <w:proofErr w:type="spellEnd"/>
            <w:r w:rsidRPr="00731976">
              <w:rPr>
                <w:rFonts w:eastAsia="Calibri" w:asciiTheme="minorHAnsi" w:hAnsiTheme="minorHAnsi" w:cstheme="minorHAnsi"/>
                <w:b/>
                <w:sz w:val="22"/>
                <w:szCs w:val="22"/>
                <w:lang w:val="fr-FR" w:eastAsia="en-US"/>
              </w:rPr>
              <w:t xml:space="preserve"> end dates</w:t>
            </w:r>
            <w:r w:rsidRPr="00731976">
              <w:rPr>
                <w:rFonts w:eastAsia="Calibri" w:asciiTheme="minorHAnsi" w:hAnsiTheme="minorHAnsi" w:cstheme="minorHAnsi"/>
                <w:b/>
                <w:sz w:val="22"/>
                <w:szCs w:val="22"/>
                <w:lang w:val="fr-FR" w:eastAsia="en-US"/>
              </w:rPr>
              <w:tab/>
            </w:r>
          </w:p>
        </w:tc>
        <w:tc>
          <w:tcPr>
            <w:tcW w:w="3827" w:type="dxa"/>
            <w:tcBorders>
              <w:bottom w:val="single" w:color="auto" w:sz="4" w:space="0"/>
            </w:tcBorders>
          </w:tcPr>
          <w:p w:rsidRPr="00731976" w:rsidR="00F44D34" w:rsidP="00F44D34" w:rsidRDefault="00F44D34" w14:paraId="598C2E3C"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eastAsia="en-US"/>
              </w:rPr>
              <w:t xml:space="preserve">Annual – 31 December </w:t>
            </w:r>
          </w:p>
        </w:tc>
        <w:tc>
          <w:tcPr>
            <w:tcW w:w="4268" w:type="dxa"/>
            <w:gridSpan w:val="2"/>
            <w:tcBorders>
              <w:bottom w:val="single" w:color="auto" w:sz="4" w:space="0"/>
            </w:tcBorders>
          </w:tcPr>
          <w:p w:rsidRPr="00731976" w:rsidR="00F44D34" w:rsidP="00F44D34" w:rsidRDefault="00F44D34" w14:paraId="71D6A0D1" w14:textId="77777777">
            <w:pPr>
              <w:spacing w:after="60"/>
              <w:jc w:val="left"/>
              <w:rPr>
                <w:rFonts w:eastAsia="Calibri" w:asciiTheme="minorHAnsi" w:hAnsiTheme="minorHAnsi" w:cstheme="minorHAnsi"/>
                <w:sz w:val="22"/>
                <w:szCs w:val="22"/>
                <w:lang w:val="fr-FR" w:eastAsia="en-US"/>
              </w:rPr>
            </w:pPr>
            <w:r w:rsidRPr="00731976">
              <w:rPr>
                <w:rFonts w:eastAsia="Calibri" w:asciiTheme="minorHAnsi" w:hAnsiTheme="minorHAnsi" w:cstheme="minorHAnsi"/>
                <w:sz w:val="22"/>
                <w:szCs w:val="22"/>
                <w:lang w:eastAsia="en-US"/>
              </w:rPr>
              <w:t xml:space="preserve">Annual – 30 June </w:t>
            </w:r>
          </w:p>
        </w:tc>
      </w:tr>
      <w:tr w:rsidRPr="004E4C21" w:rsidR="00F44D34" w:rsidTr="007C056D" w14:paraId="65A6515C" w14:textId="77777777">
        <w:trPr>
          <w:gridAfter w:val="1"/>
          <w:wAfter w:w="15" w:type="dxa"/>
          <w:jc w:val="center"/>
        </w:trPr>
        <w:tc>
          <w:tcPr>
            <w:tcW w:w="2189" w:type="dxa"/>
          </w:tcPr>
          <w:p w:rsidRPr="00731976" w:rsidR="00F44D34" w:rsidP="00F44D34" w:rsidRDefault="00F44D34" w14:paraId="3FE1FD04" w14:textId="77777777">
            <w:pPr>
              <w:spacing w:before="40" w:after="40"/>
              <w:jc w:val="left"/>
              <w:rPr>
                <w:rFonts w:eastAsia="Calibri" w:asciiTheme="minorHAnsi" w:hAnsiTheme="minorHAnsi" w:cstheme="minorHAnsi"/>
                <w:sz w:val="22"/>
                <w:szCs w:val="22"/>
                <w:lang w:val="fr-FR" w:eastAsia="en-US"/>
              </w:rPr>
            </w:pPr>
            <w:proofErr w:type="spellStart"/>
            <w:r w:rsidRPr="00731976">
              <w:rPr>
                <w:rFonts w:eastAsia="Calibri" w:asciiTheme="minorHAnsi" w:hAnsiTheme="minorHAnsi" w:cstheme="minorHAnsi"/>
                <w:b/>
                <w:sz w:val="22"/>
                <w:szCs w:val="22"/>
                <w:lang w:val="fr-FR" w:eastAsia="en-US"/>
              </w:rPr>
              <w:t>Ongoing</w:t>
            </w:r>
            <w:proofErr w:type="spellEnd"/>
            <w:r w:rsidRPr="00731976">
              <w:rPr>
                <w:rFonts w:eastAsia="Calibri" w:asciiTheme="minorHAnsi" w:hAnsiTheme="minorHAnsi" w:cstheme="minorHAnsi"/>
                <w:b/>
                <w:sz w:val="22"/>
                <w:szCs w:val="22"/>
                <w:lang w:val="fr-FR" w:eastAsia="en-US"/>
              </w:rPr>
              <w:t xml:space="preserve"> charges figure (OCF)</w:t>
            </w:r>
          </w:p>
        </w:tc>
        <w:tc>
          <w:tcPr>
            <w:tcW w:w="3827" w:type="dxa"/>
          </w:tcPr>
          <w:p w:rsidR="00F44D34" w:rsidP="00F44D34" w:rsidRDefault="006F242D" w14:paraId="34F3EA49" w14:textId="6056F855">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A USD: 2,96%</w:t>
            </w:r>
          </w:p>
          <w:p w:rsidR="006F242D" w:rsidP="00F44D34" w:rsidRDefault="006F242D" w14:paraId="2C200FA0" w14:textId="3EFE97B5">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For class B </w:t>
            </w:r>
            <w:r w:rsidR="00B71EE8">
              <w:rPr>
                <w:rFonts w:eastAsia="Calibri" w:asciiTheme="minorHAnsi" w:hAnsiTheme="minorHAnsi" w:cstheme="minorHAnsi"/>
                <w:sz w:val="22"/>
                <w:szCs w:val="22"/>
                <w:lang w:eastAsia="en-US"/>
              </w:rPr>
              <w:t>USD</w:t>
            </w:r>
            <w:r>
              <w:rPr>
                <w:rFonts w:eastAsia="Calibri" w:asciiTheme="minorHAnsi" w:hAnsiTheme="minorHAnsi" w:cstheme="minorHAnsi"/>
                <w:sz w:val="22"/>
                <w:szCs w:val="22"/>
                <w:lang w:eastAsia="en-US"/>
              </w:rPr>
              <w:t>: 2,99%</w:t>
            </w:r>
          </w:p>
          <w:p w:rsidR="006F242D" w:rsidP="00F44D34" w:rsidRDefault="006F242D" w14:paraId="02263557"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C USD: 1,78%</w:t>
            </w:r>
          </w:p>
          <w:p w:rsidRPr="00731976" w:rsidR="006F242D" w:rsidP="00F44D34" w:rsidRDefault="006F242D" w14:paraId="5BB44B6F" w14:textId="15638CD6">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E USD: 2,28%</w:t>
            </w:r>
          </w:p>
        </w:tc>
        <w:tc>
          <w:tcPr>
            <w:tcW w:w="4253" w:type="dxa"/>
          </w:tcPr>
          <w:p w:rsidR="006F242D" w:rsidP="006F242D" w:rsidRDefault="006F242D" w14:paraId="7ED1B2BE" w14:textId="2379AB1A">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R USD: 2,45%</w:t>
            </w:r>
          </w:p>
          <w:p w:rsidR="006F242D" w:rsidP="006F242D" w:rsidRDefault="006F242D" w14:paraId="4DC31D3B" w14:textId="0162A1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For class Y GPB: 2,99%</w:t>
            </w:r>
          </w:p>
          <w:p w:rsidRPr="00731976" w:rsidR="00F44D34" w:rsidP="006F242D" w:rsidRDefault="006F242D" w14:paraId="2EBEB805" w14:textId="02518D70">
            <w:pPr>
              <w:autoSpaceDE w:val="0"/>
              <w:autoSpaceDN w:val="0"/>
              <w:adjustRightInd w:val="0"/>
              <w:spacing w:before="40" w:after="40"/>
              <w:jc w:val="left"/>
              <w:rPr>
                <w:rFonts w:eastAsia="Calibri" w:asciiTheme="minorHAnsi" w:hAnsiTheme="minorHAnsi" w:cstheme="minorHAnsi"/>
                <w:iCs/>
                <w:sz w:val="22"/>
                <w:szCs w:val="22"/>
                <w:lang w:eastAsia="en-US"/>
              </w:rPr>
            </w:pPr>
            <w:r>
              <w:rPr>
                <w:rFonts w:eastAsia="Calibri" w:asciiTheme="minorHAnsi" w:hAnsiTheme="minorHAnsi" w:cstheme="minorHAnsi"/>
                <w:sz w:val="22"/>
                <w:szCs w:val="22"/>
                <w:lang w:eastAsia="en-US"/>
              </w:rPr>
              <w:t>For class Y USD: 1,55%</w:t>
            </w:r>
            <w:r w:rsidRPr="00731976" w:rsidDel="006F242D">
              <w:rPr>
                <w:rFonts w:eastAsia="Calibri" w:asciiTheme="minorHAnsi" w:hAnsiTheme="minorHAnsi" w:cstheme="minorHAnsi"/>
                <w:sz w:val="22"/>
                <w:szCs w:val="22"/>
                <w:lang w:eastAsia="en-US"/>
              </w:rPr>
              <w:t xml:space="preserve"> </w:t>
            </w:r>
          </w:p>
        </w:tc>
      </w:tr>
      <w:tr w:rsidRPr="004E4C21" w:rsidR="006F242D" w:rsidTr="007C056D" w14:paraId="352718E5" w14:textId="77777777">
        <w:trPr>
          <w:gridAfter w:val="1"/>
          <w:wAfter w:w="15" w:type="dxa"/>
          <w:jc w:val="center"/>
        </w:trPr>
        <w:tc>
          <w:tcPr>
            <w:tcW w:w="2189" w:type="dxa"/>
          </w:tcPr>
          <w:p w:rsidRPr="00731976" w:rsidR="006F242D" w:rsidP="006F242D" w:rsidRDefault="006F242D" w14:paraId="388C2371"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Management </w:t>
            </w:r>
            <w:proofErr w:type="spellStart"/>
            <w:r w:rsidRPr="00731976">
              <w:rPr>
                <w:rFonts w:eastAsia="Calibri" w:asciiTheme="minorHAnsi" w:hAnsiTheme="minorHAnsi" w:cstheme="minorHAnsi"/>
                <w:b/>
                <w:sz w:val="22"/>
                <w:szCs w:val="22"/>
                <w:lang w:val="fr-FR" w:eastAsia="en-US"/>
              </w:rPr>
              <w:t>fees</w:t>
            </w:r>
            <w:proofErr w:type="spellEnd"/>
          </w:p>
        </w:tc>
        <w:tc>
          <w:tcPr>
            <w:tcW w:w="3827" w:type="dxa"/>
          </w:tcPr>
          <w:p w:rsidRPr="00731976" w:rsidR="006F242D" w:rsidP="006F242D" w:rsidRDefault="006F242D" w14:paraId="73388AE7" w14:textId="0DABBF35">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U</w:t>
            </w:r>
            <w:r w:rsidRPr="00072145">
              <w:rPr>
                <w:rFonts w:eastAsia="Calibri" w:asciiTheme="minorHAnsi" w:hAnsiTheme="minorHAnsi" w:cstheme="minorHAnsi"/>
                <w:sz w:val="22"/>
                <w:szCs w:val="22"/>
                <w:lang w:eastAsia="en-US"/>
              </w:rPr>
              <w:t>p to 0.10% p.a. of the total Net Asset Value of each Compartment, with a minimum of EUR 16,500 per Compartment – applied on a weighted average basis - if the combined assets under management of VAM Funds (Lux) falls below EUR 125 million</w:t>
            </w:r>
          </w:p>
        </w:tc>
        <w:tc>
          <w:tcPr>
            <w:tcW w:w="4253" w:type="dxa"/>
          </w:tcPr>
          <w:p w:rsidRPr="00731976" w:rsidR="006F242D" w:rsidP="006F242D" w:rsidRDefault="00A653D7" w14:paraId="5B35AC7D" w14:textId="6102E183">
            <w:pPr>
              <w:autoSpaceDE w:val="0"/>
              <w:autoSpaceDN w:val="0"/>
              <w:adjustRightInd w:val="0"/>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Please refer to row below</w:t>
            </w:r>
          </w:p>
        </w:tc>
      </w:tr>
      <w:tr w:rsidRPr="00EC7BE8" w:rsidR="00A653D7" w:rsidDel="00EC7BE8" w:rsidTr="00A653D7" w14:paraId="02FF57D7"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EC3A47" w:rsidR="00A653D7" w:rsidP="00A653D7" w:rsidRDefault="00A653D7" w14:paraId="057BB09E" w14:textId="77777777">
            <w:pPr>
              <w:spacing w:before="40" w:after="40"/>
              <w:jc w:val="left"/>
              <w:rPr>
                <w:rFonts w:eastAsia="Calibri" w:asciiTheme="minorHAnsi" w:hAnsiTheme="minorHAnsi" w:cstheme="minorHAnsi"/>
                <w:b/>
                <w:sz w:val="22"/>
                <w:szCs w:val="22"/>
                <w:lang w:val="en-US" w:eastAsia="en-US"/>
              </w:rPr>
            </w:pPr>
            <w:r w:rsidRPr="00EC3A47">
              <w:rPr>
                <w:rFonts w:eastAsia="Calibri" w:asciiTheme="minorHAnsi" w:hAnsiTheme="minorHAnsi" w:cstheme="minorHAnsi"/>
                <w:b/>
                <w:sz w:val="22"/>
                <w:szCs w:val="22"/>
                <w:lang w:val="en-US" w:eastAsia="en-US"/>
              </w:rPr>
              <w:t xml:space="preserve">Fees payable to the depositary, central administration agent, registrar and transfer agent and management company </w:t>
            </w:r>
          </w:p>
        </w:tc>
        <w:tc>
          <w:tcPr>
            <w:tcW w:w="3827" w:type="dxa"/>
            <w:tcBorders>
              <w:top w:val="single" w:color="auto" w:sz="4" w:space="0"/>
              <w:left w:val="single" w:color="auto" w:sz="4" w:space="0"/>
              <w:bottom w:val="single" w:color="auto" w:sz="4" w:space="0"/>
              <w:right w:val="single" w:color="auto" w:sz="4" w:space="0"/>
            </w:tcBorders>
          </w:tcPr>
          <w:p w:rsidRPr="00A653D7" w:rsidR="00A653D7" w:rsidP="00A653D7" w:rsidRDefault="00A653D7" w14:paraId="75334688"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Up to 0,50% per annum</w:t>
            </w:r>
          </w:p>
        </w:tc>
        <w:tc>
          <w:tcPr>
            <w:tcW w:w="4253" w:type="dxa"/>
            <w:tcBorders>
              <w:top w:val="single" w:color="auto" w:sz="4" w:space="0"/>
              <w:left w:val="single" w:color="auto" w:sz="4" w:space="0"/>
              <w:bottom w:val="single" w:color="auto" w:sz="4" w:space="0"/>
              <w:right w:val="single" w:color="auto" w:sz="4" w:space="0"/>
            </w:tcBorders>
          </w:tcPr>
          <w:p w:rsidRPr="00A653D7" w:rsidR="00A653D7" w:rsidDel="00EC7BE8" w:rsidP="00A653D7" w:rsidRDefault="00A653D7" w14:paraId="4B25C4E5"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Within a range of 0.35-0.50% with a minimum fee of up to EUR 33,000 applicable per sub-fund per annum</w:t>
            </w:r>
            <w:r w:rsidRPr="00A653D7" w:rsidDel="00A85142">
              <w:rPr>
                <w:rFonts w:eastAsia="Calibri" w:asciiTheme="minorHAnsi" w:hAnsiTheme="minorHAnsi" w:cstheme="minorHAnsi"/>
                <w:sz w:val="22"/>
                <w:szCs w:val="22"/>
                <w:lang w:eastAsia="en-US"/>
              </w:rPr>
              <w:t xml:space="preserve"> </w:t>
            </w:r>
          </w:p>
        </w:tc>
      </w:tr>
      <w:tr w:rsidRPr="00EC7BE8" w:rsidR="00A653D7" w:rsidDel="00EC7BE8" w:rsidTr="00A653D7" w14:paraId="5D960371"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EC3A47" w:rsidR="00A653D7" w:rsidP="00A653D7" w:rsidRDefault="00A653D7" w14:paraId="18D993FF" w14:textId="77777777">
            <w:pPr>
              <w:spacing w:before="40" w:after="40"/>
              <w:jc w:val="left"/>
              <w:rPr>
                <w:rFonts w:eastAsia="Calibri" w:asciiTheme="minorHAnsi" w:hAnsiTheme="minorHAnsi" w:cstheme="minorHAnsi"/>
                <w:b/>
                <w:sz w:val="22"/>
                <w:szCs w:val="22"/>
                <w:lang w:val="en-US" w:eastAsia="en-US"/>
              </w:rPr>
            </w:pPr>
            <w:r w:rsidRPr="00EC3A47">
              <w:rPr>
                <w:rFonts w:eastAsia="Calibri" w:asciiTheme="minorHAnsi" w:hAnsiTheme="minorHAnsi" w:cstheme="minorHAnsi"/>
                <w:b/>
                <w:sz w:val="22"/>
                <w:szCs w:val="22"/>
                <w:lang w:val="en-US" w:eastAsia="en-US"/>
              </w:rPr>
              <w:lastRenderedPageBreak/>
              <w:t xml:space="preserve">Fees payable to the investment manager </w:t>
            </w:r>
          </w:p>
        </w:tc>
        <w:tc>
          <w:tcPr>
            <w:tcW w:w="3827" w:type="dxa"/>
            <w:tcBorders>
              <w:top w:val="single" w:color="auto" w:sz="4" w:space="0"/>
              <w:left w:val="single" w:color="auto" w:sz="4" w:space="0"/>
              <w:bottom w:val="single" w:color="auto" w:sz="4" w:space="0"/>
              <w:right w:val="single" w:color="auto" w:sz="4" w:space="0"/>
            </w:tcBorders>
          </w:tcPr>
          <w:p w:rsidRPr="00A653D7" w:rsidR="00A653D7" w:rsidP="00A653D7" w:rsidRDefault="00A653D7" w14:paraId="6E0F5CA7"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A USD: up to 1,75% per annum</w:t>
            </w:r>
          </w:p>
          <w:p w:rsidRPr="00A653D7" w:rsidR="00A653D7" w:rsidP="00A653D7" w:rsidRDefault="00A653D7" w14:paraId="5E625A4B"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B USD: up to 1,75% per annum</w:t>
            </w:r>
          </w:p>
          <w:p w:rsidRPr="00A653D7" w:rsidR="00A653D7" w:rsidP="00A653D7" w:rsidRDefault="00A653D7" w14:paraId="7E2ED12D"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C USD: up to 0,55% per annum</w:t>
            </w:r>
          </w:p>
          <w:p w:rsidRPr="00A653D7" w:rsidR="00A653D7" w:rsidP="00A653D7" w:rsidRDefault="00A653D7" w14:paraId="651B94B2"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E USD: up to 1,00% per annum</w:t>
            </w:r>
          </w:p>
        </w:tc>
        <w:tc>
          <w:tcPr>
            <w:tcW w:w="4253" w:type="dxa"/>
            <w:tcBorders>
              <w:top w:val="single" w:color="auto" w:sz="4" w:space="0"/>
              <w:left w:val="single" w:color="auto" w:sz="4" w:space="0"/>
              <w:bottom w:val="single" w:color="auto" w:sz="4" w:space="0"/>
              <w:right w:val="single" w:color="auto" w:sz="4" w:space="0"/>
            </w:tcBorders>
          </w:tcPr>
          <w:p w:rsidRPr="00A653D7" w:rsidR="00A653D7" w:rsidP="00A653D7" w:rsidRDefault="00A653D7" w14:paraId="6E24597C"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R USD: Up to 1.10% of total NAV per annum</w:t>
            </w:r>
          </w:p>
          <w:p w:rsidRPr="00A653D7" w:rsidR="00A653D7" w:rsidDel="00EC7BE8" w:rsidP="007E5197" w:rsidRDefault="00A653D7" w14:paraId="0389EEAD" w14:textId="0ABD48AB">
            <w:pPr>
              <w:autoSpaceDE w:val="0"/>
              <w:autoSpaceDN w:val="0"/>
              <w:adjustRightInd w:val="0"/>
              <w:spacing w:before="40"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Class Y USD and GBP: Up to 0.9% of total NAV per annum</w:t>
            </w:r>
          </w:p>
        </w:tc>
      </w:tr>
      <w:tr w:rsidRPr="00EC7BE8" w:rsidR="00A653D7" w:rsidDel="00EC7BE8" w:rsidTr="00A653D7" w14:paraId="2063EC7A"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A653D7" w:rsidR="00A653D7" w:rsidP="00A653D7" w:rsidRDefault="00A653D7" w14:paraId="5F0EE06A" w14:textId="77777777">
            <w:pPr>
              <w:spacing w:before="40" w:after="40"/>
              <w:jc w:val="left"/>
              <w:rPr>
                <w:rFonts w:eastAsia="Calibri" w:asciiTheme="minorHAnsi" w:hAnsiTheme="minorHAnsi" w:cstheme="minorHAnsi"/>
                <w:b/>
                <w:sz w:val="22"/>
                <w:szCs w:val="22"/>
                <w:lang w:val="fr-FR" w:eastAsia="en-US"/>
              </w:rPr>
            </w:pPr>
            <w:r w:rsidRPr="00A653D7">
              <w:rPr>
                <w:rFonts w:eastAsia="Calibri" w:asciiTheme="minorHAnsi" w:hAnsiTheme="minorHAnsi" w:cstheme="minorHAnsi"/>
                <w:b/>
                <w:sz w:val="22"/>
                <w:szCs w:val="22"/>
                <w:lang w:val="fr-FR" w:eastAsia="en-US"/>
              </w:rPr>
              <w:t xml:space="preserve">Distribution </w:t>
            </w:r>
            <w:proofErr w:type="spellStart"/>
            <w:r w:rsidRPr="00A653D7">
              <w:rPr>
                <w:rFonts w:eastAsia="Calibri" w:asciiTheme="minorHAnsi" w:hAnsiTheme="minorHAnsi" w:cstheme="minorHAnsi"/>
                <w:b/>
                <w:sz w:val="22"/>
                <w:szCs w:val="22"/>
                <w:lang w:val="fr-FR" w:eastAsia="en-US"/>
              </w:rPr>
              <w:t>fees</w:t>
            </w:r>
            <w:proofErr w:type="spellEnd"/>
          </w:p>
        </w:tc>
        <w:tc>
          <w:tcPr>
            <w:tcW w:w="3827" w:type="dxa"/>
            <w:tcBorders>
              <w:top w:val="single" w:color="auto" w:sz="4" w:space="0"/>
              <w:left w:val="single" w:color="auto" w:sz="4" w:space="0"/>
              <w:bottom w:val="single" w:color="auto" w:sz="4" w:space="0"/>
              <w:right w:val="single" w:color="auto" w:sz="4" w:space="0"/>
            </w:tcBorders>
          </w:tcPr>
          <w:p w:rsidRPr="00A653D7" w:rsidR="00A653D7" w:rsidP="00A653D7" w:rsidRDefault="00A653D7" w14:paraId="58C41E98" w14:textId="7777777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Up to 0,5%</w:t>
            </w:r>
          </w:p>
        </w:tc>
        <w:tc>
          <w:tcPr>
            <w:tcW w:w="4253" w:type="dxa"/>
            <w:tcBorders>
              <w:top w:val="single" w:color="auto" w:sz="4" w:space="0"/>
              <w:left w:val="single" w:color="auto" w:sz="4" w:space="0"/>
              <w:bottom w:val="single" w:color="auto" w:sz="4" w:space="0"/>
              <w:right w:val="single" w:color="auto" w:sz="4" w:space="0"/>
            </w:tcBorders>
          </w:tcPr>
          <w:p w:rsidRPr="00A653D7" w:rsidR="00A653D7" w:rsidDel="00EC7BE8" w:rsidP="00A653D7" w:rsidRDefault="00A653D7" w14:paraId="76D6901F"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A653D7">
              <w:rPr>
                <w:rFonts w:eastAsia="Calibri" w:asciiTheme="minorHAnsi" w:hAnsiTheme="minorHAnsi" w:cstheme="minorHAnsi"/>
                <w:sz w:val="22"/>
                <w:szCs w:val="22"/>
                <w:lang w:eastAsia="en-US"/>
              </w:rPr>
              <w:t>For class R USD: up to 0,5%</w:t>
            </w:r>
          </w:p>
        </w:tc>
      </w:tr>
      <w:tr w:rsidRPr="004E4C21" w:rsidR="006F242D" w:rsidTr="007C056D" w14:paraId="293FF3BD" w14:textId="77777777">
        <w:trPr>
          <w:gridAfter w:val="1"/>
          <w:wAfter w:w="15" w:type="dxa"/>
          <w:jc w:val="center"/>
        </w:trPr>
        <w:tc>
          <w:tcPr>
            <w:tcW w:w="2189" w:type="dxa"/>
          </w:tcPr>
          <w:p w:rsidRPr="00731976" w:rsidR="006F242D" w:rsidP="006F242D" w:rsidRDefault="006F242D" w14:paraId="37F2C8BB" w14:textId="77777777">
            <w:pPr>
              <w:spacing w:before="40" w:after="40"/>
              <w:jc w:val="left"/>
              <w:rPr>
                <w:rFonts w:eastAsia="Calibri" w:asciiTheme="minorHAnsi" w:hAnsiTheme="minorHAnsi" w:cstheme="minorHAnsi"/>
                <w:b/>
                <w:sz w:val="22"/>
                <w:szCs w:val="22"/>
                <w:lang w:val="fr-FR" w:eastAsia="en-US"/>
              </w:rPr>
            </w:pPr>
            <w:r w:rsidRPr="00731976">
              <w:rPr>
                <w:rFonts w:eastAsia="Calibri" w:asciiTheme="minorHAnsi" w:hAnsiTheme="minorHAnsi" w:cstheme="minorHAnsi"/>
                <w:b/>
                <w:sz w:val="22"/>
                <w:szCs w:val="22"/>
                <w:lang w:val="fr-FR" w:eastAsia="en-US"/>
              </w:rPr>
              <w:t xml:space="preserve">Suscription </w:t>
            </w:r>
            <w:proofErr w:type="spellStart"/>
            <w:r w:rsidRPr="00731976">
              <w:rPr>
                <w:rFonts w:eastAsia="Calibri" w:asciiTheme="minorHAnsi" w:hAnsiTheme="minorHAnsi" w:cstheme="minorHAnsi"/>
                <w:b/>
                <w:sz w:val="22"/>
                <w:szCs w:val="22"/>
                <w:lang w:val="fr-FR" w:eastAsia="en-US"/>
              </w:rPr>
              <w:t>fees</w:t>
            </w:r>
            <w:proofErr w:type="spellEnd"/>
            <w:r w:rsidRPr="00731976">
              <w:rPr>
                <w:rFonts w:eastAsia="Calibri" w:asciiTheme="minorHAnsi" w:hAnsiTheme="minorHAnsi" w:cstheme="minorHAnsi"/>
                <w:b/>
                <w:sz w:val="22"/>
                <w:szCs w:val="22"/>
                <w:lang w:val="fr-FR" w:eastAsia="en-US"/>
              </w:rPr>
              <w:t xml:space="preserve"> </w:t>
            </w:r>
          </w:p>
        </w:tc>
        <w:tc>
          <w:tcPr>
            <w:tcW w:w="3827" w:type="dxa"/>
          </w:tcPr>
          <w:p w:rsidRPr="00731976" w:rsidR="006F242D" w:rsidP="006F242D" w:rsidRDefault="006F242D" w14:paraId="780B88F8" w14:textId="471308E3">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sidDel="00075256">
              <w:rPr>
                <w:rFonts w:eastAsia="Calibri" w:asciiTheme="minorHAnsi" w:hAnsiTheme="minorHAnsi" w:cstheme="minorHAnsi"/>
                <w:b/>
                <w:bCs/>
                <w:i/>
                <w:iCs/>
                <w:sz w:val="22"/>
                <w:szCs w:val="22"/>
                <w:lang w:eastAsia="en-US"/>
              </w:rPr>
              <w:t xml:space="preserve"> </w:t>
            </w:r>
            <w:r w:rsidRPr="00A85142">
              <w:rPr>
                <w:rFonts w:eastAsia="Calibri" w:asciiTheme="minorHAnsi" w:hAnsiTheme="minorHAnsi" w:cstheme="minorHAnsi"/>
                <w:sz w:val="22"/>
                <w:szCs w:val="22"/>
                <w:lang w:eastAsia="en-US"/>
              </w:rPr>
              <w:t>Up</w:t>
            </w:r>
            <w:r w:rsidRPr="00543980">
              <w:rPr>
                <w:rFonts w:eastAsia="Calibri" w:asciiTheme="minorHAnsi" w:hAnsiTheme="minorHAnsi" w:cstheme="minorHAnsi"/>
                <w:sz w:val="22"/>
                <w:szCs w:val="22"/>
                <w:lang w:eastAsia="en-US"/>
              </w:rPr>
              <w:t xml:space="preserve"> to 5%</w:t>
            </w:r>
            <w:r w:rsidRPr="00E70480" w:rsidDel="00075256">
              <w:rPr>
                <w:rFonts w:eastAsia="Calibri" w:asciiTheme="minorHAnsi" w:hAnsiTheme="minorHAnsi" w:cstheme="minorHAnsi"/>
                <w:b/>
                <w:bCs/>
                <w:i/>
                <w:iCs/>
                <w:sz w:val="22"/>
                <w:szCs w:val="22"/>
                <w:highlight w:val="yellow"/>
                <w:lang w:eastAsia="en-US"/>
              </w:rPr>
              <w:t xml:space="preserve"> </w:t>
            </w:r>
          </w:p>
        </w:tc>
        <w:tc>
          <w:tcPr>
            <w:tcW w:w="4253" w:type="dxa"/>
          </w:tcPr>
          <w:p w:rsidR="006F242D" w:rsidP="006F242D" w:rsidRDefault="006F242D" w14:paraId="65AB483A" w14:textId="77777777">
            <w:pPr>
              <w:spacing w:after="40"/>
              <w:jc w:val="left"/>
              <w:rPr>
                <w:rFonts w:eastAsia="Calibri" w:asciiTheme="minorHAnsi" w:hAnsiTheme="minorHAnsi" w:cstheme="minorHAnsi"/>
                <w:sz w:val="22"/>
                <w:szCs w:val="22"/>
                <w:lang w:eastAsia="en-US"/>
              </w:rPr>
            </w:pPr>
            <w:r w:rsidRPr="00072145" w:rsidDel="00075256">
              <w:rPr>
                <w:rFonts w:eastAsia="Calibri" w:asciiTheme="minorHAnsi" w:hAnsiTheme="minorHAnsi" w:cstheme="minorHAnsi"/>
                <w:b/>
                <w:bCs/>
                <w:i/>
                <w:iCs/>
                <w:sz w:val="22"/>
                <w:szCs w:val="22"/>
                <w:lang w:eastAsia="en-US"/>
              </w:rPr>
              <w:t xml:space="preserve"> </w:t>
            </w:r>
            <w:r>
              <w:rPr>
                <w:rFonts w:eastAsia="Calibri" w:asciiTheme="minorHAnsi" w:hAnsiTheme="minorHAnsi" w:cstheme="minorHAnsi"/>
                <w:sz w:val="22"/>
                <w:szCs w:val="22"/>
                <w:lang w:eastAsia="en-US"/>
              </w:rPr>
              <w:t>Up to 5%</w:t>
            </w:r>
          </w:p>
          <w:p w:rsidRPr="00731976" w:rsidR="006F242D" w:rsidP="006F242D" w:rsidRDefault="006F242D" w14:paraId="6D928688" w14:textId="4048D3DE">
            <w:pPr>
              <w:autoSpaceDE w:val="0"/>
              <w:autoSpaceDN w:val="0"/>
              <w:adjustRightInd w:val="0"/>
              <w:spacing w:before="40" w:after="40"/>
              <w:jc w:val="left"/>
              <w:rPr>
                <w:rFonts w:eastAsia="Calibri" w:asciiTheme="minorHAnsi" w:hAnsiTheme="minorHAnsi" w:cstheme="minorHAnsi"/>
                <w:sz w:val="22"/>
                <w:szCs w:val="22"/>
                <w:lang w:eastAsia="en-US"/>
              </w:rPr>
            </w:pPr>
          </w:p>
        </w:tc>
      </w:tr>
      <w:tr w:rsidRPr="004E4C21" w:rsidR="006F242D" w:rsidTr="007C056D" w14:paraId="56FC2C11" w14:textId="77777777">
        <w:trPr>
          <w:gridAfter w:val="1"/>
          <w:wAfter w:w="15" w:type="dxa"/>
          <w:jc w:val="center"/>
        </w:trPr>
        <w:tc>
          <w:tcPr>
            <w:tcW w:w="2189" w:type="dxa"/>
          </w:tcPr>
          <w:p w:rsidRPr="00731976" w:rsidR="006F242D" w:rsidP="006F242D" w:rsidRDefault="006F242D" w14:paraId="15765588" w14:textId="77777777">
            <w:pPr>
              <w:spacing w:before="40" w:after="40"/>
              <w:jc w:val="left"/>
              <w:rPr>
                <w:rFonts w:eastAsia="Calibri" w:asciiTheme="minorHAnsi" w:hAnsiTheme="minorHAnsi" w:cstheme="minorHAnsi"/>
                <w:b/>
                <w:sz w:val="22"/>
                <w:szCs w:val="22"/>
                <w:lang w:val="fr-FR" w:eastAsia="en-US"/>
              </w:rPr>
            </w:pPr>
            <w:proofErr w:type="spellStart"/>
            <w:r w:rsidRPr="00731976">
              <w:rPr>
                <w:rFonts w:eastAsia="Calibri" w:asciiTheme="minorHAnsi" w:hAnsiTheme="minorHAnsi" w:cstheme="minorHAnsi"/>
                <w:b/>
                <w:sz w:val="22"/>
                <w:szCs w:val="22"/>
                <w:lang w:val="fr-FR" w:eastAsia="en-US"/>
              </w:rPr>
              <w:t>Redemption</w:t>
            </w:r>
            <w:proofErr w:type="spellEnd"/>
            <w:r w:rsidRPr="00731976">
              <w:rPr>
                <w:rFonts w:eastAsia="Calibri" w:asciiTheme="minorHAnsi" w:hAnsiTheme="minorHAnsi" w:cstheme="minorHAnsi"/>
                <w:b/>
                <w:sz w:val="22"/>
                <w:szCs w:val="22"/>
                <w:lang w:val="fr-FR" w:eastAsia="en-US"/>
              </w:rPr>
              <w:t xml:space="preserve"> </w:t>
            </w:r>
            <w:proofErr w:type="spellStart"/>
            <w:r w:rsidRPr="00731976">
              <w:rPr>
                <w:rFonts w:eastAsia="Calibri" w:asciiTheme="minorHAnsi" w:hAnsiTheme="minorHAnsi" w:cstheme="minorHAnsi"/>
                <w:b/>
                <w:sz w:val="22"/>
                <w:szCs w:val="22"/>
                <w:lang w:val="fr-FR" w:eastAsia="en-US"/>
              </w:rPr>
              <w:t>fees</w:t>
            </w:r>
            <w:proofErr w:type="spellEnd"/>
          </w:p>
        </w:tc>
        <w:tc>
          <w:tcPr>
            <w:tcW w:w="3827" w:type="dxa"/>
          </w:tcPr>
          <w:p w:rsidRPr="00731976" w:rsidR="006F242D" w:rsidP="00A653D7" w:rsidRDefault="006F242D" w14:paraId="77BBFAE6" w14:textId="768DD776">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eastAsia="Calibri" w:asciiTheme="minorHAnsi" w:hAnsiTheme="minorHAnsi" w:cstheme="minorHAnsi"/>
                <w:sz w:val="22"/>
                <w:szCs w:val="22"/>
                <w:lang w:eastAsia="en-US"/>
              </w:rPr>
              <w:t>None</w:t>
            </w:r>
          </w:p>
        </w:tc>
        <w:tc>
          <w:tcPr>
            <w:tcW w:w="4253" w:type="dxa"/>
          </w:tcPr>
          <w:p w:rsidRPr="00731976" w:rsidR="006F242D" w:rsidP="006F242D" w:rsidRDefault="006F242D" w14:paraId="0195481D" w14:textId="7B5AB453">
            <w:pPr>
              <w:autoSpaceDE w:val="0"/>
              <w:autoSpaceDN w:val="0"/>
              <w:adjustRightInd w:val="0"/>
              <w:spacing w:before="40" w:after="40"/>
              <w:jc w:val="left"/>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None</w:t>
            </w:r>
          </w:p>
        </w:tc>
      </w:tr>
    </w:tbl>
    <w:p w:rsidRPr="00731976" w:rsidR="00F44D34" w:rsidP="00F44D34" w:rsidRDefault="00F44D34" w14:paraId="23337679" w14:textId="77777777">
      <w:pPr>
        <w:jc w:val="right"/>
        <w:rPr>
          <w:rFonts w:eastAsia="Calibri" w:asciiTheme="minorHAnsi" w:hAnsiTheme="minorHAnsi" w:cstheme="minorHAnsi"/>
          <w:sz w:val="22"/>
          <w:szCs w:val="22"/>
          <w:lang w:eastAsia="en-US"/>
        </w:rPr>
      </w:pPr>
    </w:p>
    <w:p w:rsidRPr="00731976" w:rsidR="00F44D34" w:rsidP="00F44D34" w:rsidRDefault="00F44D34" w14:paraId="0854CD49" w14:textId="77777777">
      <w:pPr>
        <w:rPr>
          <w:rFonts w:asciiTheme="minorHAnsi" w:hAnsiTheme="minorHAnsi" w:cstheme="minorHAnsi"/>
          <w:bCs/>
          <w:sz w:val="22"/>
          <w:szCs w:val="22"/>
          <w:lang w:eastAsia="en-US"/>
        </w:rPr>
      </w:pPr>
    </w:p>
    <w:p w:rsidRPr="00731976" w:rsidR="00BC59EE" w:rsidP="00731976" w:rsidRDefault="00BC59EE" w14:paraId="51726B89" w14:textId="2E01D016">
      <w:pPr>
        <w:pStyle w:val="Appendix4"/>
        <w:numPr>
          <w:ilvl w:val="0"/>
          <w:numId w:val="0"/>
        </w:numPr>
        <w:rPr>
          <w:rFonts w:asciiTheme="minorHAnsi" w:hAnsiTheme="minorHAnsi" w:cstheme="minorHAnsi"/>
          <w:sz w:val="22"/>
          <w:szCs w:val="22"/>
          <w:lang w:val="en-US"/>
        </w:rPr>
      </w:pPr>
    </w:p>
    <w:sectPr w:rsidRPr="00731976" w:rsidR="00BC59EE" w:rsidSect="00C53EC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21DC9" w:rsidRDefault="00121DC9" w14:paraId="1064DEFC" w14:textId="77777777">
      <w:r>
        <w:separator/>
      </w:r>
    </w:p>
  </w:endnote>
  <w:endnote w:type="continuationSeparator" w:id="0">
    <w:p w:rsidR="00121DC9" w:rsidRDefault="00121DC9" w14:paraId="7247EAC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liss Light">
    <w:altName w:val="Calibri"/>
    <w:charset w:val="00"/>
    <w:family w:val="auto"/>
    <w:pitch w:val="variable"/>
    <w:sig w:usb0="8000002F" w:usb1="1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6C9D" w:rsidP="00731976" w:rsidRDefault="004F6C9D" w14:paraId="388B1320" w14:textId="646737A6">
    <w:pPr>
      <w:pStyle w:val="Footer"/>
      <w:jc w:val="left"/>
    </w:pPr>
  </w:p>
  <w:p w:rsidR="00CF3457" w:rsidP="002E7C68" w:rsidRDefault="00CF3457" w14:paraId="776B718B" w14:textId="61C4BFD3">
    <w:pPr>
      <w:pStyle w:val="Footer"/>
      <w:jc w:val="left"/>
    </w:pPr>
  </w:p>
  <w:p w:rsidR="004E2E21" w:rsidP="00EC3A47" w:rsidRDefault="004E2E21" w14:paraId="43D7E1AC" w14:textId="15AB1C2E">
    <w:pPr>
      <w:pStyle w:val="Footer"/>
      <w:jc w:val="left"/>
    </w:pPr>
  </w:p>
  <w:p w:rsidR="007C056D" w:rsidP="00C53EC3" w:rsidRDefault="004E2E21" w14:paraId="7A7C8AE4" w14:textId="76908E62">
    <w:pPr>
      <w:pStyle w:val="Footer"/>
      <w:jc w:val="left"/>
    </w:pPr>
    <w:r w:rsidRPr="00C53EC3">
      <w:rPr>
        <w:rFonts w:ascii="Calibri" w:hAnsi="Calibri" w:cs="Calibri"/>
        <w:color w:val="000000"/>
        <w:sz w:val="16"/>
      </w:rPr>
      <w:fldChar w:fldCharType="begin"/>
    </w:r>
    <w:r w:rsidRPr="00C53EC3">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16584723_10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6C9D" w:rsidP="00731976" w:rsidRDefault="004F6C9D" w14:paraId="467B176C" w14:textId="66CEC1F4">
    <w:pPr>
      <w:pStyle w:val="Footer"/>
      <w:jc w:val="left"/>
    </w:pPr>
  </w:p>
  <w:p w:rsidR="00CF3457" w:rsidP="002E7C68" w:rsidRDefault="00CF3457" w14:paraId="3D56A754" w14:textId="53FFDC3D">
    <w:pPr>
      <w:pStyle w:val="Footer"/>
      <w:jc w:val="left"/>
    </w:pPr>
  </w:p>
  <w:p w:rsidR="004E2E21" w:rsidP="00EC3A47" w:rsidRDefault="004E2E21" w14:paraId="41F512E0" w14:textId="6064C443">
    <w:pPr>
      <w:pStyle w:val="Footer"/>
      <w:jc w:val="left"/>
    </w:pPr>
  </w:p>
  <w:p w:rsidR="007C056D" w:rsidP="004E2E21" w:rsidRDefault="004E2E21" w14:paraId="0F511CD3" w14:textId="4D46EC2B">
    <w:pPr>
      <w:pStyle w:val="Footer"/>
      <w:jc w:val="left"/>
    </w:pPr>
    <w:r w:rsidRPr="00C53EC3">
      <w:rPr>
        <w:rFonts w:ascii="Calibri" w:hAnsi="Calibri" w:cs="Calibri"/>
        <w:color w:val="000000"/>
        <w:sz w:val="16"/>
      </w:rPr>
      <w:fldChar w:fldCharType="begin"/>
    </w:r>
    <w:r w:rsidRPr="00C53EC3">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16584723_10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6C9D" w:rsidP="00731976" w:rsidRDefault="004F6C9D" w14:paraId="14F48117" w14:textId="24F3A800">
    <w:pPr>
      <w:pStyle w:val="Footer"/>
      <w:jc w:val="left"/>
    </w:pPr>
  </w:p>
  <w:p w:rsidR="00CF3457" w:rsidP="002E7C68" w:rsidRDefault="00CF3457" w14:paraId="685432B3" w14:textId="19B10128">
    <w:pPr>
      <w:pStyle w:val="Footer"/>
      <w:jc w:val="left"/>
    </w:pPr>
  </w:p>
  <w:p w:rsidR="004E2E21" w:rsidP="00EC3A47" w:rsidRDefault="004E2E21" w14:paraId="3AD6F7EB" w14:textId="14CA16FC">
    <w:pPr>
      <w:pStyle w:val="Footer"/>
      <w:jc w:val="left"/>
    </w:pPr>
  </w:p>
  <w:p w:rsidR="007C056D" w:rsidP="004E2E21" w:rsidRDefault="004E2E21" w14:paraId="5367A87E" w14:textId="3EE6A34B">
    <w:pPr>
      <w:pStyle w:val="Footer"/>
      <w:jc w:val="left"/>
    </w:pPr>
    <w:r w:rsidRPr="00C53EC3">
      <w:rPr>
        <w:rFonts w:ascii="Calibri" w:hAnsi="Calibri" w:cs="Calibri"/>
        <w:color w:val="000000"/>
        <w:sz w:val="16"/>
      </w:rPr>
      <w:fldChar w:fldCharType="begin"/>
    </w:r>
    <w:r w:rsidRPr="00C53EC3">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16584723_10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21DC9" w:rsidRDefault="00121DC9" w14:paraId="693DCA49" w14:textId="77777777">
      <w:r>
        <w:separator/>
      </w:r>
    </w:p>
  </w:footnote>
  <w:footnote w:type="continuationSeparator" w:id="0">
    <w:p w:rsidR="00121DC9" w:rsidRDefault="00121DC9" w14:paraId="73D8CF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056D" w:rsidRDefault="007C056D" w14:paraId="43B6960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056D" w:rsidRDefault="007C056D" w14:paraId="5015312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056D" w:rsidRDefault="007C056D" w14:paraId="5E2501F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0"/>
      <w:numFmt w:val="decimal"/>
      <w:pStyle w:val="Heading4"/>
      <w:lvlText w:val="%1"/>
      <w:legacy w:legacy="1" w:legacySpace="120" w:legacyIndent="720"/>
      <w:lvlJc w:val="left"/>
      <w:pPr>
        <w:ind w:left="72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Heading6"/>
      <w:lvlText w:val=""/>
      <w:legacy w:legacy="1" w:legacySpace="120" w:legacyIndent="360"/>
      <w:lvlJc w:val="left"/>
      <w:pPr>
        <w:ind w:left="2736" w:hanging="360"/>
      </w:pPr>
      <w:rPr>
        <w:rFonts w:ascii="Symbol" w:hAnsi="Symbol" w:hint="default"/>
      </w:rPr>
    </w:lvl>
    <w:lvl w:ilvl="6">
      <w:start w:val="1"/>
      <w:numFmt w:val="none"/>
      <w:pStyle w:val="Heading7"/>
      <w:lvlText w:val=""/>
      <w:legacy w:legacy="1" w:legacySpace="120" w:legacyIndent="360"/>
      <w:lvlJc w:val="left"/>
      <w:pPr>
        <w:ind w:left="3240" w:hanging="360"/>
      </w:pPr>
      <w:rPr>
        <w:rFonts w:ascii="Symbol" w:hAnsi="Symbol" w:hint="default"/>
      </w:rPr>
    </w:lvl>
    <w:lvl w:ilvl="7">
      <w:start w:val="1"/>
      <w:numFmt w:val="none"/>
      <w:pStyle w:val="Heading8"/>
      <w:lvlText w:val=""/>
      <w:legacy w:legacy="1" w:legacySpace="120" w:legacyIndent="360"/>
      <w:lvlJc w:val="left"/>
      <w:pPr>
        <w:ind w:left="3744" w:hanging="360"/>
      </w:pPr>
      <w:rPr>
        <w:rFonts w:ascii="Symbol" w:hAnsi="Symbol" w:hint="default"/>
      </w:rPr>
    </w:lvl>
    <w:lvl w:ilvl="8">
      <w:start w:val="1"/>
      <w:numFmt w:val="none"/>
      <w:pStyle w:val="Heading9"/>
      <w:lvlText w:val=""/>
      <w:legacy w:legacy="1" w:legacySpace="120" w:legacyIndent="360"/>
      <w:lvlJc w:val="left"/>
      <w:pPr>
        <w:ind w:left="4320" w:hanging="360"/>
      </w:pPr>
      <w:rPr>
        <w:rFonts w:ascii="Symbol" w:hAnsi="Symbol" w:hint="default"/>
      </w:rPr>
    </w:lvl>
  </w:abstractNum>
  <w:abstractNum w:abstractNumId="1" w15:restartNumberingAfterBreak="0">
    <w:nsid w:val="05343B81"/>
    <w:multiLevelType w:val="hybridMultilevel"/>
    <w:tmpl w:val="B5900080"/>
    <w:lvl w:ilvl="0" w:tplc="A97434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0490F"/>
    <w:multiLevelType w:val="hybridMultilevel"/>
    <w:tmpl w:val="17A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B34CE7"/>
    <w:multiLevelType w:val="multilevel"/>
    <w:tmpl w:val="964E953A"/>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E76F0A"/>
    <w:multiLevelType w:val="multilevel"/>
    <w:tmpl w:val="60647BEC"/>
    <w:name w:val="WDX-Rule-Numbering"/>
    <w:lvl w:ilvl="0">
      <w:start w:val="1"/>
      <w:numFmt w:val="decimal"/>
      <w:pStyle w:val="Rule1"/>
      <w:lvlText w:val="Rule %1"/>
      <w:lvlJc w:val="left"/>
      <w:pPr>
        <w:tabs>
          <w:tab w:val="num" w:pos="851"/>
        </w:tabs>
        <w:ind w:left="851" w:hanging="851"/>
      </w:pPr>
      <w:rPr>
        <w:b/>
        <w:i w:val="0"/>
      </w:rPr>
    </w:lvl>
    <w:lvl w:ilvl="1">
      <w:start w:val="1"/>
      <w:numFmt w:val="decimal"/>
      <w:pStyle w:val="Rule2"/>
      <w:lvlText w:val="%1.%2"/>
      <w:lvlJc w:val="left"/>
      <w:pPr>
        <w:tabs>
          <w:tab w:val="num" w:pos="851"/>
        </w:tabs>
        <w:ind w:left="851" w:hanging="851"/>
      </w:pPr>
    </w:lvl>
    <w:lvl w:ilvl="2">
      <w:start w:val="1"/>
      <w:numFmt w:val="decimal"/>
      <w:pStyle w:val="Rule3"/>
      <w:lvlText w:val="%1.%2.%3"/>
      <w:lvlJc w:val="left"/>
      <w:pPr>
        <w:tabs>
          <w:tab w:val="num" w:pos="1701"/>
        </w:tabs>
        <w:ind w:left="1701" w:hanging="850"/>
      </w:pPr>
    </w:lvl>
    <w:lvl w:ilvl="3">
      <w:start w:val="1"/>
      <w:numFmt w:val="decimal"/>
      <w:pStyle w:val="Rule4"/>
      <w:lvlText w:val="%1.%2.%3.%4"/>
      <w:lvlJc w:val="left"/>
      <w:pPr>
        <w:tabs>
          <w:tab w:val="num" w:pos="2835"/>
        </w:tabs>
        <w:ind w:left="2835" w:hanging="1134"/>
      </w:pPr>
    </w:lvl>
    <w:lvl w:ilvl="4">
      <w:start w:val="1"/>
      <w:numFmt w:val="decimal"/>
      <w:pStyle w:val="Rule5"/>
      <w:lvlText w:val="%1.%2.%3.%4.%5"/>
      <w:lvlJc w:val="left"/>
      <w:pPr>
        <w:tabs>
          <w:tab w:val="num" w:pos="2835"/>
        </w:tabs>
        <w:ind w:left="2835" w:hanging="1134"/>
      </w:pPr>
    </w:lvl>
    <w:lvl w:ilvl="5">
      <w:start w:val="1"/>
      <w:numFmt w:val="none"/>
      <w:lvlText w:val="(Not Defined)"/>
      <w:lvlJc w:val="left"/>
      <w:pPr>
        <w:tabs>
          <w:tab w:val="num" w:pos="1440"/>
        </w:tabs>
        <w:ind w:left="1152" w:hanging="1152"/>
      </w:pPr>
    </w:lvl>
    <w:lvl w:ilvl="6">
      <w:start w:val="1"/>
      <w:numFmt w:val="none"/>
      <w:lvlText w:val="(Not Defined)"/>
      <w:lvlJc w:val="left"/>
      <w:pPr>
        <w:tabs>
          <w:tab w:val="num" w:pos="1440"/>
        </w:tabs>
        <w:ind w:left="1296" w:hanging="1296"/>
      </w:pPr>
    </w:lvl>
    <w:lvl w:ilvl="7">
      <w:start w:val="1"/>
      <w:numFmt w:val="none"/>
      <w:lvlText w:val="(Not Defined)"/>
      <w:lvlJc w:val="left"/>
      <w:pPr>
        <w:tabs>
          <w:tab w:val="num" w:pos="1440"/>
        </w:tabs>
        <w:ind w:left="1440" w:hanging="1440"/>
      </w:pPr>
    </w:lvl>
    <w:lvl w:ilvl="8">
      <w:start w:val="1"/>
      <w:numFmt w:val="none"/>
      <w:lvlText w:val="(Not Defined)"/>
      <w:lvlJc w:val="left"/>
      <w:pPr>
        <w:tabs>
          <w:tab w:val="num" w:pos="1584"/>
        </w:tabs>
        <w:ind w:left="1584" w:hanging="1584"/>
      </w:pPr>
    </w:lvl>
  </w:abstractNum>
  <w:abstractNum w:abstractNumId="5" w15:restartNumberingAfterBreak="0">
    <w:nsid w:val="0B9631F8"/>
    <w:multiLevelType w:val="hybridMultilevel"/>
    <w:tmpl w:val="786EB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0E1D13DE"/>
    <w:multiLevelType w:val="hybridMultilevel"/>
    <w:tmpl w:val="7686638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19247AA"/>
    <w:multiLevelType w:val="hybridMultilevel"/>
    <w:tmpl w:val="15606C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5E358C1"/>
    <w:multiLevelType w:val="hybridMultilevel"/>
    <w:tmpl w:val="54BAC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8036F84"/>
    <w:multiLevelType w:val="hybridMultilevel"/>
    <w:tmpl w:val="F4EA4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F950A5"/>
    <w:multiLevelType w:val="multilevel"/>
    <w:tmpl w:val="8D603932"/>
    <w:lvl w:ilvl="0">
      <w:start w:val="1"/>
      <w:numFmt w:val="decimal"/>
      <w:pStyle w:val="Appendix4"/>
      <w:lvlText w:val="%1"/>
      <w:lvlJc w:val="left"/>
      <w:pPr>
        <w:tabs>
          <w:tab w:val="num" w:pos="567"/>
        </w:tabs>
        <w:ind w:left="567" w:hanging="567"/>
      </w:pPr>
      <w:rPr>
        <w:rFonts w:hint="default"/>
        <w:b/>
        <w:i w:val="0"/>
        <w:sz w:val="24"/>
      </w:rPr>
    </w:lvl>
    <w:lvl w:ilvl="1">
      <w:start w:val="1"/>
      <w:numFmt w:val="decimal"/>
      <w:lvlText w:val="%1.%2"/>
      <w:lvlJc w:val="left"/>
      <w:pPr>
        <w:tabs>
          <w:tab w:val="num" w:pos="567"/>
        </w:tabs>
        <w:ind w:left="567" w:hanging="567"/>
      </w:pPr>
      <w:rPr>
        <w:rFonts w:hint="default"/>
        <w:b w:val="0"/>
        <w:i w:val="0"/>
        <w:sz w:val="24"/>
      </w:rPr>
    </w:lvl>
    <w:lvl w:ilvl="2">
      <w:start w:val="1"/>
      <w:numFmt w:val="lowerLetter"/>
      <w:lvlText w:val="(%3)"/>
      <w:lvlJc w:val="left"/>
      <w:pPr>
        <w:tabs>
          <w:tab w:val="num" w:pos="1134"/>
        </w:tabs>
        <w:ind w:left="1134" w:hanging="567"/>
      </w:pPr>
      <w:rPr>
        <w:rFonts w:ascii="Arial" w:hAnsi="Arial" w:cs="Arial" w:hint="default"/>
        <w:b w:val="0"/>
        <w:i w:val="0"/>
        <w:sz w:val="22"/>
        <w:szCs w:val="22"/>
      </w:rPr>
    </w:lvl>
    <w:lvl w:ilvl="3">
      <w:start w:val="1"/>
      <w:numFmt w:val="decimal"/>
      <w:lvlText w:val="%1.%2.%3.%4."/>
      <w:lvlJc w:val="left"/>
      <w:pPr>
        <w:tabs>
          <w:tab w:val="num" w:pos="3024"/>
        </w:tabs>
        <w:ind w:left="3024"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21957B9"/>
    <w:multiLevelType w:val="hybridMultilevel"/>
    <w:tmpl w:val="F8D4752C"/>
    <w:lvl w:ilvl="0" w:tplc="1C6C9BE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356D8C"/>
    <w:multiLevelType w:val="hybridMultilevel"/>
    <w:tmpl w:val="AAFE5E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0F5926"/>
    <w:multiLevelType w:val="hybridMultilevel"/>
    <w:tmpl w:val="B0E60094"/>
    <w:lvl w:ilvl="0" w:tplc="EE18CE58">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7649E6"/>
    <w:multiLevelType w:val="hybridMultilevel"/>
    <w:tmpl w:val="E3EC92F4"/>
    <w:lvl w:ilvl="0" w:tplc="7EB8D438">
      <w:start w:val="1"/>
      <w:numFmt w:val="lowerRoman"/>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9B1155D"/>
    <w:multiLevelType w:val="hybridMultilevel"/>
    <w:tmpl w:val="1AF4650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9972E9"/>
    <w:multiLevelType w:val="hybridMultilevel"/>
    <w:tmpl w:val="275AF174"/>
    <w:lvl w:ilvl="0" w:tplc="6AAA9756">
      <w:start w:val="1"/>
      <w:numFmt w:val="bullet"/>
      <w:lvlText w:val=""/>
      <w:lvlJc w:val="left"/>
      <w:pPr>
        <w:ind w:left="720" w:hanging="360"/>
      </w:pPr>
      <w:rPr>
        <w:rFonts w:ascii="Wingdings" w:hAnsi="Wingdings" w:hint="default"/>
      </w:rPr>
    </w:lvl>
    <w:lvl w:ilvl="1" w:tplc="46802408" w:tentative="1">
      <w:start w:val="1"/>
      <w:numFmt w:val="bullet"/>
      <w:lvlText w:val="o"/>
      <w:lvlJc w:val="left"/>
      <w:pPr>
        <w:ind w:left="1440" w:hanging="360"/>
      </w:pPr>
      <w:rPr>
        <w:rFonts w:ascii="Courier New" w:hAnsi="Courier New" w:cs="Courier New" w:hint="default"/>
      </w:rPr>
    </w:lvl>
    <w:lvl w:ilvl="2" w:tplc="D090DB98" w:tentative="1">
      <w:start w:val="1"/>
      <w:numFmt w:val="bullet"/>
      <w:lvlText w:val=""/>
      <w:lvlJc w:val="left"/>
      <w:pPr>
        <w:ind w:left="2160" w:hanging="360"/>
      </w:pPr>
      <w:rPr>
        <w:rFonts w:ascii="Wingdings" w:hAnsi="Wingdings" w:hint="default"/>
      </w:rPr>
    </w:lvl>
    <w:lvl w:ilvl="3" w:tplc="17522032" w:tentative="1">
      <w:start w:val="1"/>
      <w:numFmt w:val="bullet"/>
      <w:lvlText w:val=""/>
      <w:lvlJc w:val="left"/>
      <w:pPr>
        <w:ind w:left="2880" w:hanging="360"/>
      </w:pPr>
      <w:rPr>
        <w:rFonts w:ascii="Symbol" w:hAnsi="Symbol" w:hint="default"/>
      </w:rPr>
    </w:lvl>
    <w:lvl w:ilvl="4" w:tplc="7C2AD33A" w:tentative="1">
      <w:start w:val="1"/>
      <w:numFmt w:val="bullet"/>
      <w:lvlText w:val="o"/>
      <w:lvlJc w:val="left"/>
      <w:pPr>
        <w:ind w:left="3600" w:hanging="360"/>
      </w:pPr>
      <w:rPr>
        <w:rFonts w:ascii="Courier New" w:hAnsi="Courier New" w:cs="Courier New" w:hint="default"/>
      </w:rPr>
    </w:lvl>
    <w:lvl w:ilvl="5" w:tplc="01DCBF84" w:tentative="1">
      <w:start w:val="1"/>
      <w:numFmt w:val="bullet"/>
      <w:lvlText w:val=""/>
      <w:lvlJc w:val="left"/>
      <w:pPr>
        <w:ind w:left="4320" w:hanging="360"/>
      </w:pPr>
      <w:rPr>
        <w:rFonts w:ascii="Wingdings" w:hAnsi="Wingdings" w:hint="default"/>
      </w:rPr>
    </w:lvl>
    <w:lvl w:ilvl="6" w:tplc="9BFEFAFA" w:tentative="1">
      <w:start w:val="1"/>
      <w:numFmt w:val="bullet"/>
      <w:lvlText w:val=""/>
      <w:lvlJc w:val="left"/>
      <w:pPr>
        <w:ind w:left="5040" w:hanging="360"/>
      </w:pPr>
      <w:rPr>
        <w:rFonts w:ascii="Symbol" w:hAnsi="Symbol" w:hint="default"/>
      </w:rPr>
    </w:lvl>
    <w:lvl w:ilvl="7" w:tplc="D2689F40" w:tentative="1">
      <w:start w:val="1"/>
      <w:numFmt w:val="bullet"/>
      <w:lvlText w:val="o"/>
      <w:lvlJc w:val="left"/>
      <w:pPr>
        <w:ind w:left="5760" w:hanging="360"/>
      </w:pPr>
      <w:rPr>
        <w:rFonts w:ascii="Courier New" w:hAnsi="Courier New" w:cs="Courier New" w:hint="default"/>
      </w:rPr>
    </w:lvl>
    <w:lvl w:ilvl="8" w:tplc="F314ECD8" w:tentative="1">
      <w:start w:val="1"/>
      <w:numFmt w:val="bullet"/>
      <w:lvlText w:val=""/>
      <w:lvlJc w:val="left"/>
      <w:pPr>
        <w:ind w:left="6480" w:hanging="360"/>
      </w:pPr>
      <w:rPr>
        <w:rFonts w:ascii="Wingdings" w:hAnsi="Wingdings" w:hint="default"/>
      </w:rPr>
    </w:lvl>
  </w:abstractNum>
  <w:abstractNum w:abstractNumId="17" w15:restartNumberingAfterBreak="0">
    <w:nsid w:val="30C078DA"/>
    <w:multiLevelType w:val="multilevel"/>
    <w:tmpl w:val="BD2262F8"/>
    <w:lvl w:ilvl="0">
      <w:start w:val="6"/>
      <w:numFmt w:val="decimal"/>
      <w:pStyle w:val="Level1"/>
      <w:lvlText w:val="%1."/>
      <w:lvlJc w:val="left"/>
      <w:pPr>
        <w:tabs>
          <w:tab w:val="num" w:pos="851"/>
        </w:tabs>
        <w:ind w:left="851" w:hanging="851"/>
      </w:pPr>
      <w:rPr>
        <w:rFonts w:hint="default"/>
        <w:b w:val="0"/>
        <w:i w:val="0"/>
        <w:u w:val="none"/>
      </w:rPr>
    </w:lvl>
    <w:lvl w:ilvl="1">
      <w:start w:val="1"/>
      <w:numFmt w:val="decimal"/>
      <w:pStyle w:val="Level2"/>
      <w:lvlText w:val="6.%2"/>
      <w:lvlJc w:val="left"/>
      <w:pPr>
        <w:tabs>
          <w:tab w:val="num" w:pos="1091"/>
        </w:tabs>
        <w:ind w:left="1091" w:hanging="851"/>
      </w:pPr>
      <w:rPr>
        <w:rFonts w:hint="default"/>
        <w:b w:val="0"/>
        <w:i w:val="0"/>
        <w:u w:val="none"/>
      </w:rPr>
    </w:lvl>
    <w:lvl w:ilvl="2">
      <w:start w:val="1"/>
      <w:numFmt w:val="decimal"/>
      <w:pStyle w:val="Level3"/>
      <w:lvlText w:val="%1.%2.%3"/>
      <w:lvlJc w:val="left"/>
      <w:pPr>
        <w:tabs>
          <w:tab w:val="num" w:pos="1843"/>
        </w:tabs>
        <w:ind w:left="1843" w:hanging="992"/>
      </w:pPr>
      <w:rPr>
        <w:rFonts w:ascii="Verdana" w:hAnsi="Verdana" w:hint="default"/>
        <w:b w:val="0"/>
        <w:i w:val="0"/>
        <w:sz w:val="20"/>
        <w:szCs w:val="2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8" w15:restartNumberingAfterBreak="0">
    <w:nsid w:val="3117060F"/>
    <w:multiLevelType w:val="hybridMultilevel"/>
    <w:tmpl w:val="38847A9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DD173C"/>
    <w:multiLevelType w:val="hybridMultilevel"/>
    <w:tmpl w:val="B7A24AA0"/>
    <w:lvl w:ilvl="0" w:tplc="9522A99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4D1A72"/>
    <w:multiLevelType w:val="hybridMultilevel"/>
    <w:tmpl w:val="F3FA4E0E"/>
    <w:lvl w:ilvl="0" w:tplc="D676202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2437B8"/>
    <w:multiLevelType w:val="multilevel"/>
    <w:tmpl w:val="A24E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6F7FBC"/>
    <w:multiLevelType w:val="hybridMultilevel"/>
    <w:tmpl w:val="CD9EC6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99015A0"/>
    <w:multiLevelType w:val="hybridMultilevel"/>
    <w:tmpl w:val="5B9022DC"/>
    <w:lvl w:ilvl="0" w:tplc="FFFFFFFF">
      <w:start w:val="1"/>
      <w:numFmt w:val="decimal"/>
      <w:lvlText w:val="%1"/>
      <w:lvlJc w:val="left"/>
      <w:pPr>
        <w:tabs>
          <w:tab w:val="num" w:pos="567"/>
        </w:tabs>
        <w:ind w:left="567" w:hanging="567"/>
      </w:pPr>
      <w:rPr>
        <w:rFonts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AF74953"/>
    <w:multiLevelType w:val="hybridMultilevel"/>
    <w:tmpl w:val="C3E25FF0"/>
    <w:lvl w:ilvl="0" w:tplc="0B7ACCA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B3944A9"/>
    <w:multiLevelType w:val="hybridMultilevel"/>
    <w:tmpl w:val="4F748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C0A08DF"/>
    <w:multiLevelType w:val="hybridMultilevel"/>
    <w:tmpl w:val="978E8DDE"/>
    <w:lvl w:ilvl="0" w:tplc="FFFFFFFF">
      <w:start w:val="1"/>
      <w:numFmt w:val="decimal"/>
      <w:lvlText w:val="%1"/>
      <w:lvlJc w:val="left"/>
      <w:pPr>
        <w:tabs>
          <w:tab w:val="num" w:pos="1080"/>
        </w:tabs>
        <w:ind w:left="1080" w:hanging="360"/>
      </w:pPr>
      <w:rPr>
        <w:rFonts w:hint="default"/>
        <w:b/>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4487218B"/>
    <w:multiLevelType w:val="hybridMultilevel"/>
    <w:tmpl w:val="83A4D3B0"/>
    <w:lvl w:ilvl="0" w:tplc="93EA207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4F5038"/>
    <w:multiLevelType w:val="hybridMultilevel"/>
    <w:tmpl w:val="91249F62"/>
    <w:lvl w:ilvl="0" w:tplc="CB5C0554">
      <w:start w:val="1"/>
      <w:numFmt w:val="bullet"/>
      <w:lvlText w:val=""/>
      <w:lvlJc w:val="left"/>
      <w:pPr>
        <w:ind w:left="720" w:hanging="360"/>
      </w:pPr>
      <w:rPr>
        <w:rFonts w:ascii="Wingdings" w:hAnsi="Wingdings" w:hint="default"/>
      </w:rPr>
    </w:lvl>
    <w:lvl w:ilvl="1" w:tplc="C41276F4" w:tentative="1">
      <w:start w:val="1"/>
      <w:numFmt w:val="bullet"/>
      <w:lvlText w:val="o"/>
      <w:lvlJc w:val="left"/>
      <w:pPr>
        <w:ind w:left="1440" w:hanging="360"/>
      </w:pPr>
      <w:rPr>
        <w:rFonts w:ascii="Courier New" w:hAnsi="Courier New" w:cs="Courier New" w:hint="default"/>
      </w:rPr>
    </w:lvl>
    <w:lvl w:ilvl="2" w:tplc="C9BCC67E" w:tentative="1">
      <w:start w:val="1"/>
      <w:numFmt w:val="bullet"/>
      <w:lvlText w:val=""/>
      <w:lvlJc w:val="left"/>
      <w:pPr>
        <w:ind w:left="2160" w:hanging="360"/>
      </w:pPr>
      <w:rPr>
        <w:rFonts w:ascii="Wingdings" w:hAnsi="Wingdings" w:hint="default"/>
      </w:rPr>
    </w:lvl>
    <w:lvl w:ilvl="3" w:tplc="79C61F32" w:tentative="1">
      <w:start w:val="1"/>
      <w:numFmt w:val="bullet"/>
      <w:lvlText w:val=""/>
      <w:lvlJc w:val="left"/>
      <w:pPr>
        <w:ind w:left="2880" w:hanging="360"/>
      </w:pPr>
      <w:rPr>
        <w:rFonts w:ascii="Symbol" w:hAnsi="Symbol" w:hint="default"/>
      </w:rPr>
    </w:lvl>
    <w:lvl w:ilvl="4" w:tplc="087269CC" w:tentative="1">
      <w:start w:val="1"/>
      <w:numFmt w:val="bullet"/>
      <w:lvlText w:val="o"/>
      <w:lvlJc w:val="left"/>
      <w:pPr>
        <w:ind w:left="3600" w:hanging="360"/>
      </w:pPr>
      <w:rPr>
        <w:rFonts w:ascii="Courier New" w:hAnsi="Courier New" w:cs="Courier New" w:hint="default"/>
      </w:rPr>
    </w:lvl>
    <w:lvl w:ilvl="5" w:tplc="3DFEAF0E" w:tentative="1">
      <w:start w:val="1"/>
      <w:numFmt w:val="bullet"/>
      <w:lvlText w:val=""/>
      <w:lvlJc w:val="left"/>
      <w:pPr>
        <w:ind w:left="4320" w:hanging="360"/>
      </w:pPr>
      <w:rPr>
        <w:rFonts w:ascii="Wingdings" w:hAnsi="Wingdings" w:hint="default"/>
      </w:rPr>
    </w:lvl>
    <w:lvl w:ilvl="6" w:tplc="4322E636" w:tentative="1">
      <w:start w:val="1"/>
      <w:numFmt w:val="bullet"/>
      <w:lvlText w:val=""/>
      <w:lvlJc w:val="left"/>
      <w:pPr>
        <w:ind w:left="5040" w:hanging="360"/>
      </w:pPr>
      <w:rPr>
        <w:rFonts w:ascii="Symbol" w:hAnsi="Symbol" w:hint="default"/>
      </w:rPr>
    </w:lvl>
    <w:lvl w:ilvl="7" w:tplc="21288050" w:tentative="1">
      <w:start w:val="1"/>
      <w:numFmt w:val="bullet"/>
      <w:lvlText w:val="o"/>
      <w:lvlJc w:val="left"/>
      <w:pPr>
        <w:ind w:left="5760" w:hanging="360"/>
      </w:pPr>
      <w:rPr>
        <w:rFonts w:ascii="Courier New" w:hAnsi="Courier New" w:cs="Courier New" w:hint="default"/>
      </w:rPr>
    </w:lvl>
    <w:lvl w:ilvl="8" w:tplc="DF00B5FA" w:tentative="1">
      <w:start w:val="1"/>
      <w:numFmt w:val="bullet"/>
      <w:lvlText w:val=""/>
      <w:lvlJc w:val="left"/>
      <w:pPr>
        <w:ind w:left="6480" w:hanging="360"/>
      </w:pPr>
      <w:rPr>
        <w:rFonts w:ascii="Wingdings" w:hAnsi="Wingdings" w:hint="default"/>
      </w:rPr>
    </w:lvl>
  </w:abstractNum>
  <w:abstractNum w:abstractNumId="29" w15:restartNumberingAfterBreak="0">
    <w:nsid w:val="4FAD73C0"/>
    <w:multiLevelType w:val="hybridMultilevel"/>
    <w:tmpl w:val="9FC0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1A4D54"/>
    <w:multiLevelType w:val="hybridMultilevel"/>
    <w:tmpl w:val="635652F6"/>
    <w:lvl w:ilvl="0" w:tplc="E2C8C8A2">
      <w:start w:val="1"/>
      <w:numFmt w:val="lowerLetter"/>
      <w:lvlText w:val="(%1)"/>
      <w:lvlJc w:val="left"/>
      <w:pPr>
        <w:ind w:left="720" w:hanging="360"/>
      </w:pPr>
      <w:rPr>
        <w:rFonts w:hint="default"/>
        <w:i/>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2D1AFE"/>
    <w:multiLevelType w:val="hybridMultilevel"/>
    <w:tmpl w:val="511AE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830607F"/>
    <w:multiLevelType w:val="hybridMultilevel"/>
    <w:tmpl w:val="482C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353A99"/>
    <w:multiLevelType w:val="hybridMultilevel"/>
    <w:tmpl w:val="FF983232"/>
    <w:lvl w:ilvl="0" w:tplc="A5181398">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2BB71EF"/>
    <w:multiLevelType w:val="hybridMultilevel"/>
    <w:tmpl w:val="705603CA"/>
    <w:lvl w:ilvl="0" w:tplc="104C7A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270F99"/>
    <w:multiLevelType w:val="multilevel"/>
    <w:tmpl w:val="F7F4D610"/>
    <w:name w:val="EV-Bullet-Numbering"/>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701"/>
        </w:tabs>
        <w:ind w:left="1701" w:hanging="850"/>
      </w:pPr>
      <w:rPr>
        <w:rFonts w:ascii="Symbol" w:hAnsi="Symbol" w:hint="default"/>
        <w:b w:val="0"/>
        <w:i w:val="0"/>
        <w:u w:val="none"/>
      </w:rPr>
    </w:lvl>
    <w:lvl w:ilvl="2">
      <w:start w:val="1"/>
      <w:numFmt w:val="bullet"/>
      <w:pStyle w:val="Bullet3"/>
      <w:lvlText w:val=""/>
      <w:lvlJc w:val="left"/>
      <w:pPr>
        <w:tabs>
          <w:tab w:val="num" w:pos="2835"/>
        </w:tabs>
        <w:ind w:left="2835" w:hanging="1134"/>
      </w:pPr>
      <w:rPr>
        <w:rFonts w:ascii="Symbol" w:hAnsi="Symbol" w:hint="default"/>
        <w:b w:val="0"/>
        <w:i w:val="0"/>
        <w:u w:val="none"/>
      </w:rPr>
    </w:lvl>
    <w:lvl w:ilvl="3">
      <w:start w:val="1"/>
      <w:numFmt w:val="lowerLetter"/>
      <w:isLgl/>
      <w:lvlText w:val="%1(Not Defined)"/>
      <w:lvlJc w:val="left"/>
      <w:pPr>
        <w:tabs>
          <w:tab w:val="num" w:pos="3785"/>
        </w:tabs>
        <w:ind w:left="3402" w:hanging="1417"/>
      </w:pPr>
      <w:rPr>
        <w:b w:val="0"/>
        <w:i w:val="0"/>
        <w:u w:val="none"/>
      </w:rPr>
    </w:lvl>
    <w:lvl w:ilvl="4">
      <w:start w:val="1"/>
      <w:numFmt w:val="none"/>
      <w:lvlText w:val="(Not Defined)"/>
      <w:lvlJc w:val="left"/>
      <w:pPr>
        <w:tabs>
          <w:tab w:val="num" w:pos="4842"/>
        </w:tabs>
        <w:ind w:left="3969"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960"/>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6" w15:restartNumberingAfterBreak="0">
    <w:nsid w:val="69AA70F6"/>
    <w:multiLevelType w:val="multilevel"/>
    <w:tmpl w:val="3DF2CBA6"/>
    <w:lvl w:ilvl="0">
      <w:start w:val="1"/>
      <w:numFmt w:val="decimal"/>
      <w:lvlText w:val="%1."/>
      <w:legacy w:legacy="1" w:legacySpace="0" w:legacyIndent="0"/>
      <w:lvlJc w:val="left"/>
      <w:pPr>
        <w:ind w:left="0" w:firstLine="0"/>
      </w:pPr>
    </w:lvl>
    <w:lvl w:ilvl="1">
      <w:start w:val="1"/>
      <w:numFmt w:val="decimal"/>
      <w:lvlText w:val="%1.%2"/>
      <w:legacy w:legacy="1" w:legacySpace="120" w:legacyIndent="851"/>
      <w:lvlJc w:val="left"/>
      <w:pPr>
        <w:ind w:left="851" w:hanging="851"/>
      </w:pPr>
    </w:lvl>
    <w:lvl w:ilvl="2">
      <w:start w:val="1"/>
      <w:numFmt w:val="decimal"/>
      <w:lvlText w:val="%1.%2.%3"/>
      <w:legacy w:legacy="1" w:legacySpace="120" w:legacyIndent="850"/>
      <w:lvlJc w:val="left"/>
      <w:pPr>
        <w:ind w:left="1701" w:hanging="850"/>
      </w:pPr>
    </w:lvl>
    <w:lvl w:ilvl="3">
      <w:start w:val="1"/>
      <w:numFmt w:val="decimal"/>
      <w:lvlText w:val="%1.%2.%3.%4"/>
      <w:legacy w:legacy="1" w:legacySpace="120" w:legacyIndent="1134"/>
      <w:lvlJc w:val="left"/>
      <w:pPr>
        <w:ind w:left="2835" w:hanging="1134"/>
      </w:pPr>
    </w:lvl>
    <w:lvl w:ilvl="4">
      <w:start w:val="1"/>
      <w:numFmt w:val="lowerLetter"/>
      <w:lvlText w:val="(%5)"/>
      <w:legacy w:legacy="1" w:legacySpace="120" w:legacyIndent="1134"/>
      <w:lvlJc w:val="left"/>
      <w:pPr>
        <w:ind w:left="3969" w:hanging="1134"/>
      </w:pPr>
    </w:lvl>
    <w:lvl w:ilvl="5">
      <w:start w:val="1"/>
      <w:numFmt w:val="none"/>
      <w:lvlText w:val="(Not Defined)"/>
      <w:legacy w:legacy="1" w:legacySpace="120" w:legacyIndent="936"/>
      <w:lvlJc w:val="left"/>
      <w:pPr>
        <w:ind w:left="4905" w:hanging="936"/>
      </w:pPr>
    </w:lvl>
    <w:lvl w:ilvl="6">
      <w:start w:val="1"/>
      <w:numFmt w:val="none"/>
      <w:lvlText w:val="(Not Defined)"/>
      <w:legacy w:legacy="1" w:legacySpace="120" w:legacyIndent="1080"/>
      <w:lvlJc w:val="left"/>
      <w:pPr>
        <w:ind w:left="5985" w:hanging="1080"/>
      </w:pPr>
    </w:lvl>
    <w:lvl w:ilvl="7">
      <w:start w:val="1"/>
      <w:numFmt w:val="none"/>
      <w:lvlText w:val="("/>
      <w:legacy w:legacy="1" w:legacySpace="120" w:legacyIndent="1224"/>
      <w:lvlJc w:val="left"/>
      <w:pPr>
        <w:ind w:left="7209" w:hanging="1224"/>
      </w:pPr>
    </w:lvl>
    <w:lvl w:ilvl="8">
      <w:start w:val="1"/>
      <w:numFmt w:val="none"/>
      <w:lvlText w:val=""/>
      <w:legacy w:legacy="1" w:legacySpace="120" w:legacyIndent="1440"/>
      <w:lvlJc w:val="left"/>
      <w:pPr>
        <w:ind w:left="8649" w:hanging="1440"/>
      </w:pPr>
    </w:lvl>
  </w:abstractNum>
  <w:abstractNum w:abstractNumId="37" w15:restartNumberingAfterBreak="0">
    <w:nsid w:val="6A645476"/>
    <w:multiLevelType w:val="hybridMultilevel"/>
    <w:tmpl w:val="D0A28FF4"/>
    <w:lvl w:ilvl="0" w:tplc="06B2370E">
      <w:start w:val="1"/>
      <w:numFmt w:val="decimal"/>
      <w:lvlText w:val="(%1)"/>
      <w:lvlJc w:val="left"/>
      <w:pPr>
        <w:tabs>
          <w:tab w:val="num" w:pos="360"/>
        </w:tabs>
        <w:ind w:left="360" w:hanging="360"/>
      </w:pPr>
      <w:rPr>
        <w:rFonts w:hint="default"/>
      </w:rPr>
    </w:lvl>
    <w:lvl w:ilvl="1" w:tplc="63866386">
      <w:start w:val="2"/>
      <w:numFmt w:val="bullet"/>
      <w:lvlText w:val="-"/>
      <w:lvlJc w:val="left"/>
      <w:pPr>
        <w:tabs>
          <w:tab w:val="num" w:pos="1080"/>
        </w:tabs>
        <w:ind w:left="1080" w:hanging="360"/>
      </w:pPr>
      <w:rPr>
        <w:rFonts w:ascii="Times New Roman" w:eastAsia="Times New Roman" w:hAnsi="Times New Roman" w:cs="Times New Roman" w:hint="default"/>
      </w:rPr>
    </w:lvl>
    <w:lvl w:ilvl="2" w:tplc="6DF60FD4">
      <w:start w:val="1"/>
      <w:numFmt w:val="lowerRoman"/>
      <w:lvlText w:val="(%3)"/>
      <w:lvlJc w:val="left"/>
      <w:pPr>
        <w:tabs>
          <w:tab w:val="num" w:pos="1420"/>
        </w:tabs>
        <w:ind w:left="1420" w:hanging="720"/>
      </w:pPr>
      <w:rPr>
        <w:rFonts w:hint="default"/>
      </w:rPr>
    </w:lvl>
    <w:lvl w:ilvl="3" w:tplc="A796B0DE">
      <w:numFmt w:val="bullet"/>
      <w:lvlText w:val="-"/>
      <w:lvlJc w:val="left"/>
      <w:pPr>
        <w:tabs>
          <w:tab w:val="num" w:pos="2520"/>
        </w:tabs>
        <w:ind w:left="2520" w:hanging="360"/>
      </w:pPr>
      <w:rPr>
        <w:rFonts w:ascii="Times New Roman" w:eastAsia="Times New Roman" w:hAnsi="Times New Roman" w:cs="Times New Roman" w:hint="default"/>
      </w:rPr>
    </w:lvl>
    <w:lvl w:ilvl="4" w:tplc="AFA288BA">
      <w:start w:val="1"/>
      <w:numFmt w:val="lowerLetter"/>
      <w:lvlText w:val="%5."/>
      <w:lvlJc w:val="left"/>
      <w:pPr>
        <w:ind w:left="3240" w:hanging="360"/>
      </w:pPr>
      <w:rPr>
        <w:rFonts w:hint="default"/>
      </w:rPr>
    </w:lvl>
    <w:lvl w:ilvl="5" w:tplc="D772ADFE" w:tentative="1">
      <w:start w:val="1"/>
      <w:numFmt w:val="lowerRoman"/>
      <w:lvlText w:val="%6."/>
      <w:lvlJc w:val="right"/>
      <w:pPr>
        <w:tabs>
          <w:tab w:val="num" w:pos="3960"/>
        </w:tabs>
        <w:ind w:left="3960" w:hanging="180"/>
      </w:pPr>
    </w:lvl>
    <w:lvl w:ilvl="6" w:tplc="567062A2" w:tentative="1">
      <w:start w:val="1"/>
      <w:numFmt w:val="decimal"/>
      <w:lvlText w:val="%7."/>
      <w:lvlJc w:val="left"/>
      <w:pPr>
        <w:tabs>
          <w:tab w:val="num" w:pos="4680"/>
        </w:tabs>
        <w:ind w:left="4680" w:hanging="360"/>
      </w:pPr>
    </w:lvl>
    <w:lvl w:ilvl="7" w:tplc="4C62D35E" w:tentative="1">
      <w:start w:val="1"/>
      <w:numFmt w:val="lowerLetter"/>
      <w:lvlText w:val="%8."/>
      <w:lvlJc w:val="left"/>
      <w:pPr>
        <w:tabs>
          <w:tab w:val="num" w:pos="5400"/>
        </w:tabs>
        <w:ind w:left="5400" w:hanging="360"/>
      </w:pPr>
    </w:lvl>
    <w:lvl w:ilvl="8" w:tplc="4ED49238" w:tentative="1">
      <w:start w:val="1"/>
      <w:numFmt w:val="lowerRoman"/>
      <w:lvlText w:val="%9."/>
      <w:lvlJc w:val="right"/>
      <w:pPr>
        <w:tabs>
          <w:tab w:val="num" w:pos="6120"/>
        </w:tabs>
        <w:ind w:left="6120" w:hanging="180"/>
      </w:pPr>
    </w:lvl>
  </w:abstractNum>
  <w:abstractNum w:abstractNumId="38" w15:restartNumberingAfterBreak="0">
    <w:nsid w:val="6C1418DD"/>
    <w:multiLevelType w:val="hybridMultilevel"/>
    <w:tmpl w:val="36C0B926"/>
    <w:lvl w:ilvl="0" w:tplc="A34C18B4">
      <w:start w:val="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9" w15:restartNumberingAfterBreak="0">
    <w:nsid w:val="6C2213A6"/>
    <w:multiLevelType w:val="multilevel"/>
    <w:tmpl w:val="D1D0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7A441E"/>
    <w:multiLevelType w:val="hybridMultilevel"/>
    <w:tmpl w:val="E66C5F86"/>
    <w:lvl w:ilvl="0" w:tplc="09B2435E">
      <w:start w:val="1"/>
      <w:numFmt w:val="lowerRoman"/>
      <w:lvlText w:val="%1."/>
      <w:lvlJc w:val="right"/>
      <w:pPr>
        <w:tabs>
          <w:tab w:val="num" w:pos="1440"/>
        </w:tabs>
        <w:ind w:left="1440" w:hanging="360"/>
      </w:pPr>
      <w:rPr>
        <w:rFonts w:ascii="Times New Roman" w:hAnsi="Times New Roman"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D5E0332"/>
    <w:multiLevelType w:val="hybridMultilevel"/>
    <w:tmpl w:val="8876AA2A"/>
    <w:lvl w:ilvl="0" w:tplc="1FC88398">
      <w:start w:val="1"/>
      <w:numFmt w:val="bullet"/>
      <w:lvlText w:val="o"/>
      <w:lvlJc w:val="left"/>
      <w:pPr>
        <w:ind w:left="2136" w:hanging="360"/>
      </w:pPr>
      <w:rPr>
        <w:rFonts w:ascii="Courier New" w:hAnsi="Courier New" w:cs="Courier New" w:hint="default"/>
      </w:rPr>
    </w:lvl>
    <w:lvl w:ilvl="1" w:tplc="E17A82C0" w:tentative="1">
      <w:start w:val="1"/>
      <w:numFmt w:val="bullet"/>
      <w:lvlText w:val="o"/>
      <w:lvlJc w:val="left"/>
      <w:pPr>
        <w:ind w:left="2856" w:hanging="360"/>
      </w:pPr>
      <w:rPr>
        <w:rFonts w:ascii="Courier New" w:hAnsi="Courier New" w:cs="Courier New" w:hint="default"/>
      </w:rPr>
    </w:lvl>
    <w:lvl w:ilvl="2" w:tplc="922C4740" w:tentative="1">
      <w:start w:val="1"/>
      <w:numFmt w:val="bullet"/>
      <w:lvlText w:val=""/>
      <w:lvlJc w:val="left"/>
      <w:pPr>
        <w:ind w:left="3576" w:hanging="360"/>
      </w:pPr>
      <w:rPr>
        <w:rFonts w:ascii="Wingdings" w:hAnsi="Wingdings" w:hint="default"/>
      </w:rPr>
    </w:lvl>
    <w:lvl w:ilvl="3" w:tplc="D3D65F06" w:tentative="1">
      <w:start w:val="1"/>
      <w:numFmt w:val="bullet"/>
      <w:lvlText w:val=""/>
      <w:lvlJc w:val="left"/>
      <w:pPr>
        <w:ind w:left="4296" w:hanging="360"/>
      </w:pPr>
      <w:rPr>
        <w:rFonts w:ascii="Symbol" w:hAnsi="Symbol" w:hint="default"/>
      </w:rPr>
    </w:lvl>
    <w:lvl w:ilvl="4" w:tplc="E152BE30" w:tentative="1">
      <w:start w:val="1"/>
      <w:numFmt w:val="bullet"/>
      <w:lvlText w:val="o"/>
      <w:lvlJc w:val="left"/>
      <w:pPr>
        <w:ind w:left="5016" w:hanging="360"/>
      </w:pPr>
      <w:rPr>
        <w:rFonts w:ascii="Courier New" w:hAnsi="Courier New" w:cs="Courier New" w:hint="default"/>
      </w:rPr>
    </w:lvl>
    <w:lvl w:ilvl="5" w:tplc="C3228C3C" w:tentative="1">
      <w:start w:val="1"/>
      <w:numFmt w:val="bullet"/>
      <w:lvlText w:val=""/>
      <w:lvlJc w:val="left"/>
      <w:pPr>
        <w:ind w:left="5736" w:hanging="360"/>
      </w:pPr>
      <w:rPr>
        <w:rFonts w:ascii="Wingdings" w:hAnsi="Wingdings" w:hint="default"/>
      </w:rPr>
    </w:lvl>
    <w:lvl w:ilvl="6" w:tplc="735284CA" w:tentative="1">
      <w:start w:val="1"/>
      <w:numFmt w:val="bullet"/>
      <w:lvlText w:val=""/>
      <w:lvlJc w:val="left"/>
      <w:pPr>
        <w:ind w:left="6456" w:hanging="360"/>
      </w:pPr>
      <w:rPr>
        <w:rFonts w:ascii="Symbol" w:hAnsi="Symbol" w:hint="default"/>
      </w:rPr>
    </w:lvl>
    <w:lvl w:ilvl="7" w:tplc="B8AAEA1A" w:tentative="1">
      <w:start w:val="1"/>
      <w:numFmt w:val="bullet"/>
      <w:lvlText w:val="o"/>
      <w:lvlJc w:val="left"/>
      <w:pPr>
        <w:ind w:left="7176" w:hanging="360"/>
      </w:pPr>
      <w:rPr>
        <w:rFonts w:ascii="Courier New" w:hAnsi="Courier New" w:cs="Courier New" w:hint="default"/>
      </w:rPr>
    </w:lvl>
    <w:lvl w:ilvl="8" w:tplc="90FA3676" w:tentative="1">
      <w:start w:val="1"/>
      <w:numFmt w:val="bullet"/>
      <w:lvlText w:val=""/>
      <w:lvlJc w:val="left"/>
      <w:pPr>
        <w:ind w:left="7896" w:hanging="360"/>
      </w:pPr>
      <w:rPr>
        <w:rFonts w:ascii="Wingdings" w:hAnsi="Wingdings" w:hint="default"/>
      </w:rPr>
    </w:lvl>
  </w:abstractNum>
  <w:abstractNum w:abstractNumId="42" w15:restartNumberingAfterBreak="0">
    <w:nsid w:val="6D941F54"/>
    <w:multiLevelType w:val="hybridMultilevel"/>
    <w:tmpl w:val="3490CE7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3" w15:restartNumberingAfterBreak="0">
    <w:nsid w:val="6DFF0C3E"/>
    <w:multiLevelType w:val="hybridMultilevel"/>
    <w:tmpl w:val="CEE02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146C5A"/>
    <w:multiLevelType w:val="hybridMultilevel"/>
    <w:tmpl w:val="9878B64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4723A9"/>
    <w:multiLevelType w:val="hybridMultilevel"/>
    <w:tmpl w:val="8D6252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5371C86"/>
    <w:multiLevelType w:val="hybridMultilevel"/>
    <w:tmpl w:val="FE4EB240"/>
    <w:lvl w:ilvl="0" w:tplc="CE76200E">
      <w:start w:val="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28303C"/>
    <w:multiLevelType w:val="hybridMultilevel"/>
    <w:tmpl w:val="0824B286"/>
    <w:lvl w:ilvl="0" w:tplc="80BE9E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660A76"/>
    <w:multiLevelType w:val="hybridMultilevel"/>
    <w:tmpl w:val="96908440"/>
    <w:lvl w:ilvl="0" w:tplc="18ACEE2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EA97ED7"/>
    <w:multiLevelType w:val="hybridMultilevel"/>
    <w:tmpl w:val="F7CE4DA4"/>
    <w:lvl w:ilvl="0" w:tplc="009A61CA">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6814986">
    <w:abstractNumId w:val="35"/>
  </w:num>
  <w:num w:numId="2" w16cid:durableId="1737121348">
    <w:abstractNumId w:val="26"/>
  </w:num>
  <w:num w:numId="3" w16cid:durableId="1812867155">
    <w:abstractNumId w:val="17"/>
  </w:num>
  <w:num w:numId="4" w16cid:durableId="1063216080">
    <w:abstractNumId w:val="23"/>
    <w:lvlOverride w:ilvl="0">
      <w:startOverride w:val="1"/>
    </w:lvlOverride>
  </w:num>
  <w:num w:numId="5" w16cid:durableId="208342180">
    <w:abstractNumId w:val="10"/>
  </w:num>
  <w:num w:numId="6" w16cid:durableId="115297777">
    <w:abstractNumId w:val="11"/>
  </w:num>
  <w:num w:numId="7" w16cid:durableId="1418861547">
    <w:abstractNumId w:val="0"/>
  </w:num>
  <w:num w:numId="8" w16cid:durableId="1394432137">
    <w:abstractNumId w:val="4"/>
  </w:num>
  <w:num w:numId="9" w16cid:durableId="471482209">
    <w:abstractNumId w:val="48"/>
  </w:num>
  <w:num w:numId="10" w16cid:durableId="1938368875">
    <w:abstractNumId w:val="2"/>
  </w:num>
  <w:num w:numId="11" w16cid:durableId="1029718803">
    <w:abstractNumId w:val="47"/>
  </w:num>
  <w:num w:numId="12" w16cid:durableId="879050176">
    <w:abstractNumId w:val="36"/>
  </w:num>
  <w:num w:numId="13" w16cid:durableId="835223233">
    <w:abstractNumId w:val="36"/>
    <w:lvlOverride w:ilvl="0">
      <w:lvl w:ilvl="0">
        <w:start w:val="1"/>
        <w:numFmt w:val="decimal"/>
        <w:lvlText w:val="%1."/>
        <w:legacy w:legacy="1" w:legacySpace="0" w:legacyIndent="0"/>
        <w:lvlJc w:val="left"/>
        <w:pPr>
          <w:ind w:left="0" w:firstLine="0"/>
        </w:pPr>
      </w:lvl>
    </w:lvlOverride>
    <w:lvlOverride w:ilvl="1">
      <w:lvl w:ilvl="1">
        <w:start w:val="1"/>
        <w:numFmt w:val="decimal"/>
        <w:lvlText w:val="%1.%2"/>
        <w:legacy w:legacy="1" w:legacySpace="120" w:legacyIndent="851"/>
        <w:lvlJc w:val="left"/>
        <w:pPr>
          <w:ind w:left="851" w:hanging="851"/>
        </w:pPr>
        <w:rPr>
          <w:b w:val="0"/>
        </w:rPr>
      </w:lvl>
    </w:lvlOverride>
    <w:lvlOverride w:ilvl="2">
      <w:lvl w:ilvl="2">
        <w:start w:val="1"/>
        <w:numFmt w:val="decimal"/>
        <w:lvlText w:val="%1.%2.%3"/>
        <w:legacy w:legacy="1" w:legacySpace="120" w:legacyIndent="850"/>
        <w:lvlJc w:val="left"/>
        <w:pPr>
          <w:ind w:left="1701" w:hanging="850"/>
        </w:pPr>
      </w:lvl>
    </w:lvlOverride>
    <w:lvlOverride w:ilvl="3">
      <w:lvl w:ilvl="3">
        <w:start w:val="1"/>
        <w:numFmt w:val="decimal"/>
        <w:lvlText w:val="%1.%2.%3.%4"/>
        <w:legacy w:legacy="1" w:legacySpace="120" w:legacyIndent="1134"/>
        <w:lvlJc w:val="left"/>
        <w:pPr>
          <w:ind w:left="2835" w:hanging="1134"/>
        </w:pPr>
      </w:lvl>
    </w:lvlOverride>
    <w:lvlOverride w:ilvl="4">
      <w:lvl w:ilvl="4">
        <w:start w:val="1"/>
        <w:numFmt w:val="lowerLetter"/>
        <w:lvlText w:val="(%5)"/>
        <w:legacy w:legacy="1" w:legacySpace="120" w:legacyIndent="1134"/>
        <w:lvlJc w:val="left"/>
        <w:pPr>
          <w:ind w:left="3969" w:hanging="1134"/>
        </w:pPr>
      </w:lvl>
    </w:lvlOverride>
    <w:lvlOverride w:ilvl="5">
      <w:lvl w:ilvl="5">
        <w:start w:val="1"/>
        <w:numFmt w:val="none"/>
        <w:lvlText w:val="(Not Defined)"/>
        <w:legacy w:legacy="1" w:legacySpace="120" w:legacyIndent="936"/>
        <w:lvlJc w:val="left"/>
        <w:pPr>
          <w:ind w:left="4905" w:hanging="936"/>
        </w:pPr>
      </w:lvl>
    </w:lvlOverride>
    <w:lvlOverride w:ilvl="6">
      <w:lvl w:ilvl="6">
        <w:start w:val="1"/>
        <w:numFmt w:val="none"/>
        <w:lvlText w:val="(Not Defined)"/>
        <w:legacy w:legacy="1" w:legacySpace="120" w:legacyIndent="1080"/>
        <w:lvlJc w:val="left"/>
        <w:pPr>
          <w:ind w:left="5985" w:hanging="1080"/>
        </w:pPr>
      </w:lvl>
    </w:lvlOverride>
    <w:lvlOverride w:ilvl="7">
      <w:lvl w:ilvl="7">
        <w:start w:val="1"/>
        <w:numFmt w:val="none"/>
        <w:lvlText w:val="("/>
        <w:legacy w:legacy="1" w:legacySpace="120" w:legacyIndent="1224"/>
        <w:lvlJc w:val="left"/>
        <w:pPr>
          <w:ind w:left="7209" w:hanging="1224"/>
        </w:pPr>
      </w:lvl>
    </w:lvlOverride>
    <w:lvlOverride w:ilvl="8">
      <w:lvl w:ilvl="8">
        <w:start w:val="1"/>
        <w:numFmt w:val="none"/>
        <w:lvlText w:val=""/>
        <w:legacy w:legacy="1" w:legacySpace="120" w:legacyIndent="1440"/>
        <w:lvlJc w:val="left"/>
        <w:pPr>
          <w:ind w:left="8649" w:hanging="1440"/>
        </w:pPr>
      </w:lvl>
    </w:lvlOverride>
  </w:num>
  <w:num w:numId="14" w16cid:durableId="321272271">
    <w:abstractNumId w:val="34"/>
  </w:num>
  <w:num w:numId="15" w16cid:durableId="685058299">
    <w:abstractNumId w:val="25"/>
  </w:num>
  <w:num w:numId="16" w16cid:durableId="623001114">
    <w:abstractNumId w:val="12"/>
  </w:num>
  <w:num w:numId="17" w16cid:durableId="1767339874">
    <w:abstractNumId w:val="32"/>
  </w:num>
  <w:num w:numId="18" w16cid:durableId="229268242">
    <w:abstractNumId w:val="9"/>
  </w:num>
  <w:num w:numId="19" w16cid:durableId="1842626263">
    <w:abstractNumId w:val="40"/>
  </w:num>
  <w:num w:numId="20" w16cid:durableId="1142844851">
    <w:abstractNumId w:val="44"/>
  </w:num>
  <w:num w:numId="21" w16cid:durableId="1907566096">
    <w:abstractNumId w:val="19"/>
  </w:num>
  <w:num w:numId="22" w16cid:durableId="1969044371">
    <w:abstractNumId w:val="27"/>
  </w:num>
  <w:num w:numId="23" w16cid:durableId="233321097">
    <w:abstractNumId w:val="49"/>
  </w:num>
  <w:num w:numId="24" w16cid:durableId="1806971476">
    <w:abstractNumId w:val="22"/>
  </w:num>
  <w:num w:numId="25" w16cid:durableId="996882308">
    <w:abstractNumId w:val="15"/>
  </w:num>
  <w:num w:numId="26" w16cid:durableId="748040020">
    <w:abstractNumId w:val="1"/>
  </w:num>
  <w:num w:numId="27" w16cid:durableId="953290075">
    <w:abstractNumId w:val="30"/>
  </w:num>
  <w:num w:numId="28" w16cid:durableId="1170950073">
    <w:abstractNumId w:val="18"/>
  </w:num>
  <w:num w:numId="29" w16cid:durableId="253713215">
    <w:abstractNumId w:val="20"/>
  </w:num>
  <w:num w:numId="30" w16cid:durableId="528302772">
    <w:abstractNumId w:val="31"/>
  </w:num>
  <w:num w:numId="31" w16cid:durableId="1014117308">
    <w:abstractNumId w:val="43"/>
  </w:num>
  <w:num w:numId="32" w16cid:durableId="1704788854">
    <w:abstractNumId w:val="13"/>
  </w:num>
  <w:num w:numId="33" w16cid:durableId="1201475643">
    <w:abstractNumId w:val="8"/>
  </w:num>
  <w:num w:numId="34" w16cid:durableId="1573468609">
    <w:abstractNumId w:val="24"/>
  </w:num>
  <w:num w:numId="35" w16cid:durableId="1942564996">
    <w:abstractNumId w:val="5"/>
  </w:num>
  <w:num w:numId="36" w16cid:durableId="1713995333">
    <w:abstractNumId w:val="7"/>
  </w:num>
  <w:num w:numId="37" w16cid:durableId="876116469">
    <w:abstractNumId w:val="7"/>
  </w:num>
  <w:num w:numId="38" w16cid:durableId="1187908379">
    <w:abstractNumId w:val="29"/>
  </w:num>
  <w:num w:numId="39" w16cid:durableId="1323696678">
    <w:abstractNumId w:val="42"/>
  </w:num>
  <w:num w:numId="40" w16cid:durableId="480197931">
    <w:abstractNumId w:val="45"/>
  </w:num>
  <w:num w:numId="41" w16cid:durableId="548566891">
    <w:abstractNumId w:val="14"/>
  </w:num>
  <w:num w:numId="42" w16cid:durableId="2060350711">
    <w:abstractNumId w:val="6"/>
  </w:num>
  <w:num w:numId="43" w16cid:durableId="1914663184">
    <w:abstractNumId w:val="33"/>
  </w:num>
  <w:num w:numId="44" w16cid:durableId="514929032">
    <w:abstractNumId w:val="46"/>
  </w:num>
  <w:num w:numId="45" w16cid:durableId="395906930">
    <w:abstractNumId w:val="37"/>
  </w:num>
  <w:num w:numId="46" w16cid:durableId="1080909920">
    <w:abstractNumId w:val="39"/>
  </w:num>
  <w:num w:numId="47" w16cid:durableId="479618996">
    <w:abstractNumId w:val="21"/>
  </w:num>
  <w:num w:numId="48" w16cid:durableId="45685379">
    <w:abstractNumId w:val="16"/>
  </w:num>
  <w:num w:numId="49" w16cid:durableId="444930018">
    <w:abstractNumId w:val="28"/>
  </w:num>
  <w:num w:numId="50" w16cid:durableId="2061241817">
    <w:abstractNumId w:val="41"/>
  </w:num>
  <w:num w:numId="51" w16cid:durableId="1493332799">
    <w:abstractNumId w:val="38"/>
  </w:num>
  <w:num w:numId="52" w16cid:durableId="1670400909">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lang="de-DE" w:vendorID="64" w:dllVersion="6" w:nlCheck="1" w:checkStyle="0" w:appName="MSWord"/>
  <w:activeWritingStyle w:lang="fr-FR" w:vendorID="64" w:dllVersion="6" w:nlCheck="1" w:checkStyle="0" w:appName="MSWord"/>
  <w:activeWritingStyle w:lang="en-GB" w:vendorID="64" w:dllVersion="6" w:nlCheck="1" w:checkStyle="1" w:appName="MSWord"/>
  <w:activeWritingStyle w:lang="en-US" w:vendorID="64" w:dllVersion="6" w:nlCheck="1" w:checkStyle="1" w:appName="MSWord"/>
  <w:activeWritingStyle w:lang="en-GB" w:vendorID="64" w:dllVersion="4096" w:nlCheck="1" w:checkStyle="0" w:appName="MSWord"/>
  <w:activeWritingStyle w:lang="en-US" w:vendorID="64" w:dllVersion="4096" w:nlCheck="1" w:checkStyle="0" w:appName="MSWord"/>
  <w:activeWritingStyle w:lang="fr-FR" w:vendorID="64" w:dllVersion="4096" w:nlCheck="1" w:checkStyle="0" w:appName="MSWord"/>
  <w:activeWritingStyle w:lang="fr-LU" w:vendorID="64" w:dllVersion="6" w:nlCheck="1" w:checkStyle="0" w:appName="MSWord"/>
  <w:activeWritingStyle w:lang="en-GB" w:vendorID="64" w:dllVersion="0" w:nlCheck="1" w:checkStyle="0" w:appName="MSWord"/>
  <w:activeWritingStyle w:lang="de-DE" w:vendorID="64" w:dllVersion="0" w:nlCheck="1" w:checkStyle="0" w:appName="MSWord"/>
  <w:activeWritingStyle w:lang="en-US" w:vendorID="64" w:dllVersion="0" w:nlCheck="1" w:checkStyle="0" w:appName="MSWord"/>
  <w:activeWritingStyle w:lang="fr-LU" w:vendorID="64" w:dllVersion="0" w:nlCheck="1" w:checkStyle="0" w:appName="MSWord"/>
  <w:activeWritingStyle w:lang="fr-FR" w:vendorID="64" w:dllVersion="0" w:nlCheck="1" w:checkStyle="0" w:appName="MSWord"/>
  <w:activeWritingStyle w:lang="it-IT" w:vendorID="64" w:dllVersion="6" w:nlCheck="1" w:checkStyle="0" w:appName="MSWord"/>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0A9"/>
    <w:rsid w:val="00001679"/>
    <w:rsid w:val="00016CF7"/>
    <w:rsid w:val="00017FE7"/>
    <w:rsid w:val="00021A40"/>
    <w:rsid w:val="00021C8F"/>
    <w:rsid w:val="000574CF"/>
    <w:rsid w:val="0007310E"/>
    <w:rsid w:val="000931EE"/>
    <w:rsid w:val="000A2D4B"/>
    <w:rsid w:val="000B1B60"/>
    <w:rsid w:val="000C5D6A"/>
    <w:rsid w:val="000D6053"/>
    <w:rsid w:val="000E4EC5"/>
    <w:rsid w:val="00105602"/>
    <w:rsid w:val="00111387"/>
    <w:rsid w:val="00121DC9"/>
    <w:rsid w:val="00125048"/>
    <w:rsid w:val="00126B0D"/>
    <w:rsid w:val="001274E6"/>
    <w:rsid w:val="00127A10"/>
    <w:rsid w:val="0014190A"/>
    <w:rsid w:val="00156C00"/>
    <w:rsid w:val="0017084B"/>
    <w:rsid w:val="00175050"/>
    <w:rsid w:val="001817EB"/>
    <w:rsid w:val="00195D47"/>
    <w:rsid w:val="001A3D43"/>
    <w:rsid w:val="001A3DD6"/>
    <w:rsid w:val="001B174A"/>
    <w:rsid w:val="001C40CB"/>
    <w:rsid w:val="001D0EE1"/>
    <w:rsid w:val="001D4338"/>
    <w:rsid w:val="001E1733"/>
    <w:rsid w:val="00207761"/>
    <w:rsid w:val="00210029"/>
    <w:rsid w:val="002330A5"/>
    <w:rsid w:val="00236AFE"/>
    <w:rsid w:val="002467EE"/>
    <w:rsid w:val="00252DB0"/>
    <w:rsid w:val="00292188"/>
    <w:rsid w:val="00295D2D"/>
    <w:rsid w:val="002C1E89"/>
    <w:rsid w:val="002C3816"/>
    <w:rsid w:val="002D227C"/>
    <w:rsid w:val="002D28B7"/>
    <w:rsid w:val="002E2364"/>
    <w:rsid w:val="002E63A7"/>
    <w:rsid w:val="002E7C68"/>
    <w:rsid w:val="002F6C60"/>
    <w:rsid w:val="003178F7"/>
    <w:rsid w:val="00327DF7"/>
    <w:rsid w:val="00331066"/>
    <w:rsid w:val="00334D60"/>
    <w:rsid w:val="00337CC1"/>
    <w:rsid w:val="00340FCD"/>
    <w:rsid w:val="003552BA"/>
    <w:rsid w:val="00363C57"/>
    <w:rsid w:val="003671AF"/>
    <w:rsid w:val="00373559"/>
    <w:rsid w:val="00375553"/>
    <w:rsid w:val="0037631A"/>
    <w:rsid w:val="003914A1"/>
    <w:rsid w:val="003A0F57"/>
    <w:rsid w:val="003A4CF3"/>
    <w:rsid w:val="003C16E8"/>
    <w:rsid w:val="003D3B2F"/>
    <w:rsid w:val="003D4F63"/>
    <w:rsid w:val="003E1815"/>
    <w:rsid w:val="003E27A1"/>
    <w:rsid w:val="003E4A45"/>
    <w:rsid w:val="00405E8E"/>
    <w:rsid w:val="00415488"/>
    <w:rsid w:val="0043129F"/>
    <w:rsid w:val="00434A63"/>
    <w:rsid w:val="00457B61"/>
    <w:rsid w:val="004A2117"/>
    <w:rsid w:val="004B3165"/>
    <w:rsid w:val="004B75E7"/>
    <w:rsid w:val="004C45B5"/>
    <w:rsid w:val="004D4EBE"/>
    <w:rsid w:val="004E2E21"/>
    <w:rsid w:val="004E4C21"/>
    <w:rsid w:val="004E6A3C"/>
    <w:rsid w:val="004F6C9D"/>
    <w:rsid w:val="0050148E"/>
    <w:rsid w:val="00522B30"/>
    <w:rsid w:val="005256AA"/>
    <w:rsid w:val="00526CE0"/>
    <w:rsid w:val="00541278"/>
    <w:rsid w:val="005426F4"/>
    <w:rsid w:val="00542B17"/>
    <w:rsid w:val="005649A9"/>
    <w:rsid w:val="00567B6B"/>
    <w:rsid w:val="005741EF"/>
    <w:rsid w:val="005B2BF1"/>
    <w:rsid w:val="005B4015"/>
    <w:rsid w:val="005F10A4"/>
    <w:rsid w:val="006159CC"/>
    <w:rsid w:val="00631701"/>
    <w:rsid w:val="00634A75"/>
    <w:rsid w:val="0063613C"/>
    <w:rsid w:val="00641466"/>
    <w:rsid w:val="00655E3C"/>
    <w:rsid w:val="0065726B"/>
    <w:rsid w:val="006662BC"/>
    <w:rsid w:val="0066669A"/>
    <w:rsid w:val="00677B87"/>
    <w:rsid w:val="006B16CB"/>
    <w:rsid w:val="006B7928"/>
    <w:rsid w:val="006C2A4A"/>
    <w:rsid w:val="006C55BF"/>
    <w:rsid w:val="006D3E94"/>
    <w:rsid w:val="006D5F4E"/>
    <w:rsid w:val="006F242D"/>
    <w:rsid w:val="00711F26"/>
    <w:rsid w:val="00722CC0"/>
    <w:rsid w:val="00723623"/>
    <w:rsid w:val="007272C7"/>
    <w:rsid w:val="00731976"/>
    <w:rsid w:val="00732D95"/>
    <w:rsid w:val="00740A11"/>
    <w:rsid w:val="007572C2"/>
    <w:rsid w:val="007811AD"/>
    <w:rsid w:val="00792D32"/>
    <w:rsid w:val="007941C0"/>
    <w:rsid w:val="007A4F4C"/>
    <w:rsid w:val="007A5A9B"/>
    <w:rsid w:val="007B1D5D"/>
    <w:rsid w:val="007C056D"/>
    <w:rsid w:val="007D134E"/>
    <w:rsid w:val="007E0273"/>
    <w:rsid w:val="007E5197"/>
    <w:rsid w:val="007F2EE3"/>
    <w:rsid w:val="00802D49"/>
    <w:rsid w:val="00810360"/>
    <w:rsid w:val="00822445"/>
    <w:rsid w:val="00835ECE"/>
    <w:rsid w:val="008560CA"/>
    <w:rsid w:val="0086119B"/>
    <w:rsid w:val="00864A8A"/>
    <w:rsid w:val="0086701B"/>
    <w:rsid w:val="008A59E9"/>
    <w:rsid w:val="008A5F9B"/>
    <w:rsid w:val="008B0A49"/>
    <w:rsid w:val="008C280B"/>
    <w:rsid w:val="008E2917"/>
    <w:rsid w:val="008E58B8"/>
    <w:rsid w:val="008E67B1"/>
    <w:rsid w:val="008F3912"/>
    <w:rsid w:val="008F5846"/>
    <w:rsid w:val="009174C9"/>
    <w:rsid w:val="00935343"/>
    <w:rsid w:val="00973B0F"/>
    <w:rsid w:val="009762EE"/>
    <w:rsid w:val="009A17C9"/>
    <w:rsid w:val="009B3F49"/>
    <w:rsid w:val="009C744A"/>
    <w:rsid w:val="009E5443"/>
    <w:rsid w:val="009E67DE"/>
    <w:rsid w:val="009F16F6"/>
    <w:rsid w:val="00A0165F"/>
    <w:rsid w:val="00A034FA"/>
    <w:rsid w:val="00A16A31"/>
    <w:rsid w:val="00A22751"/>
    <w:rsid w:val="00A256D5"/>
    <w:rsid w:val="00A26BAD"/>
    <w:rsid w:val="00A30EA4"/>
    <w:rsid w:val="00A33613"/>
    <w:rsid w:val="00A41F2D"/>
    <w:rsid w:val="00A525D6"/>
    <w:rsid w:val="00A653D7"/>
    <w:rsid w:val="00A67393"/>
    <w:rsid w:val="00A90565"/>
    <w:rsid w:val="00AA0143"/>
    <w:rsid w:val="00AA2D37"/>
    <w:rsid w:val="00AB25CC"/>
    <w:rsid w:val="00AB3B08"/>
    <w:rsid w:val="00AD0697"/>
    <w:rsid w:val="00AD14B2"/>
    <w:rsid w:val="00AD7EBC"/>
    <w:rsid w:val="00B10295"/>
    <w:rsid w:val="00B15CCA"/>
    <w:rsid w:val="00B2003E"/>
    <w:rsid w:val="00B34018"/>
    <w:rsid w:val="00B34A85"/>
    <w:rsid w:val="00B3532C"/>
    <w:rsid w:val="00B368FC"/>
    <w:rsid w:val="00B44F63"/>
    <w:rsid w:val="00B51792"/>
    <w:rsid w:val="00B71EE8"/>
    <w:rsid w:val="00B7205B"/>
    <w:rsid w:val="00B92105"/>
    <w:rsid w:val="00B92A45"/>
    <w:rsid w:val="00B964AB"/>
    <w:rsid w:val="00BA3702"/>
    <w:rsid w:val="00BB02E4"/>
    <w:rsid w:val="00BB4D75"/>
    <w:rsid w:val="00BC59EE"/>
    <w:rsid w:val="00BD22D4"/>
    <w:rsid w:val="00BD32D4"/>
    <w:rsid w:val="00BF3DB9"/>
    <w:rsid w:val="00BF4D5D"/>
    <w:rsid w:val="00BF5CC7"/>
    <w:rsid w:val="00BF670D"/>
    <w:rsid w:val="00BF767C"/>
    <w:rsid w:val="00C052E5"/>
    <w:rsid w:val="00C07217"/>
    <w:rsid w:val="00C11F3B"/>
    <w:rsid w:val="00C17D3F"/>
    <w:rsid w:val="00C2219C"/>
    <w:rsid w:val="00C2768A"/>
    <w:rsid w:val="00C33D90"/>
    <w:rsid w:val="00C4368E"/>
    <w:rsid w:val="00C445D2"/>
    <w:rsid w:val="00C475F8"/>
    <w:rsid w:val="00C535FA"/>
    <w:rsid w:val="00C53EC3"/>
    <w:rsid w:val="00C74CFE"/>
    <w:rsid w:val="00C77CEE"/>
    <w:rsid w:val="00C8754B"/>
    <w:rsid w:val="00CA1FFC"/>
    <w:rsid w:val="00CA6776"/>
    <w:rsid w:val="00CA6CD4"/>
    <w:rsid w:val="00CA6F5B"/>
    <w:rsid w:val="00CB0163"/>
    <w:rsid w:val="00CD464D"/>
    <w:rsid w:val="00CF3457"/>
    <w:rsid w:val="00D244DF"/>
    <w:rsid w:val="00D265A1"/>
    <w:rsid w:val="00D355BC"/>
    <w:rsid w:val="00D41DCB"/>
    <w:rsid w:val="00D51D8A"/>
    <w:rsid w:val="00D63739"/>
    <w:rsid w:val="00D63FDB"/>
    <w:rsid w:val="00D64352"/>
    <w:rsid w:val="00D67459"/>
    <w:rsid w:val="00D823B0"/>
    <w:rsid w:val="00DA60A8"/>
    <w:rsid w:val="00DB07FE"/>
    <w:rsid w:val="00E03629"/>
    <w:rsid w:val="00E118F2"/>
    <w:rsid w:val="00E46DBA"/>
    <w:rsid w:val="00E61D27"/>
    <w:rsid w:val="00E62168"/>
    <w:rsid w:val="00E858D9"/>
    <w:rsid w:val="00E87364"/>
    <w:rsid w:val="00E91667"/>
    <w:rsid w:val="00EB38C4"/>
    <w:rsid w:val="00EB50DB"/>
    <w:rsid w:val="00EC3A47"/>
    <w:rsid w:val="00ED7ECA"/>
    <w:rsid w:val="00EE6B6A"/>
    <w:rsid w:val="00EF2ED5"/>
    <w:rsid w:val="00EF7F8F"/>
    <w:rsid w:val="00F100F8"/>
    <w:rsid w:val="00F14BF5"/>
    <w:rsid w:val="00F31034"/>
    <w:rsid w:val="00F331BD"/>
    <w:rsid w:val="00F44D34"/>
    <w:rsid w:val="00F45C46"/>
    <w:rsid w:val="00F47ED7"/>
    <w:rsid w:val="00F60A78"/>
    <w:rsid w:val="00F700A9"/>
    <w:rsid w:val="00F713AB"/>
    <w:rsid w:val="00F7714C"/>
    <w:rsid w:val="00FA287B"/>
    <w:rsid w:val="00FB6898"/>
    <w:rsid w:val="00FC1645"/>
    <w:rsid w:val="00FD2B36"/>
    <w:rsid w:val="00FD48E7"/>
    <w:rsid w:val="00FE157A"/>
    <w:rsid w:val="00FE32B2"/>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76E57"/>
  <w15:chartTrackingRefBased/>
  <w15:docId w15:val="{DE5A1A27-4F0A-43C3-80F5-2180D160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8"/>
        <w:lang w:val="en-GB"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29"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29"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0A9"/>
    <w:pPr>
      <w:spacing w:after="0" w:line="240" w:lineRule="auto"/>
      <w:jc w:val="both"/>
    </w:pPr>
    <w:rPr>
      <w:rFonts w:ascii="Times New Roman" w:hAnsi="Times New Roman" w:eastAsia="Times New Roman" w:cs="Times New Roman"/>
      <w:sz w:val="24"/>
      <w:szCs w:val="20"/>
      <w:lang w:eastAsia="en-GB" w:bidi="ar-SA"/>
    </w:rPr>
  </w:style>
  <w:style w:type="paragraph" w:styleId="Heading1">
    <w:name w:val="heading 1"/>
    <w:basedOn w:val="Normal"/>
    <w:next w:val="Normal"/>
    <w:link w:val="Heading1Char"/>
    <w:qFormat/>
    <w:rsid w:val="00F700A9"/>
    <w:pPr>
      <w:keepNext/>
      <w:jc w:val="center"/>
      <w:outlineLvl w:val="0"/>
    </w:pPr>
    <w:rPr>
      <w:b/>
    </w:rPr>
  </w:style>
  <w:style w:type="paragraph" w:styleId="Heading3">
    <w:name w:val="heading 3"/>
    <w:basedOn w:val="Normal"/>
    <w:next w:val="Normal"/>
    <w:link w:val="Heading3Char"/>
    <w:unhideWhenUsed/>
    <w:qFormat/>
    <w:rsid w:val="00F700A9"/>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qFormat/>
    <w:rsid w:val="00F700A9"/>
    <w:pPr>
      <w:keepNext/>
      <w:numPr>
        <w:numId w:val="7"/>
      </w:numPr>
      <w:tabs>
        <w:tab w:val="num" w:pos="720"/>
      </w:tabs>
      <w:outlineLvl w:val="3"/>
    </w:pPr>
    <w:rPr>
      <w:b/>
    </w:rPr>
  </w:style>
  <w:style w:type="paragraph" w:styleId="Heading6">
    <w:name w:val="heading 6"/>
    <w:basedOn w:val="Normal"/>
    <w:next w:val="Normal"/>
    <w:link w:val="Heading6Char"/>
    <w:qFormat/>
    <w:rsid w:val="00F700A9"/>
    <w:pPr>
      <w:numPr>
        <w:ilvl w:val="5"/>
        <w:numId w:val="7"/>
      </w:numPr>
      <w:tabs>
        <w:tab w:val="num" w:pos="3240"/>
      </w:tabs>
      <w:spacing w:before="240" w:after="60"/>
      <w:ind w:hanging="936"/>
      <w:outlineLvl w:val="5"/>
    </w:pPr>
    <w:rPr>
      <w:i/>
      <w:sz w:val="22"/>
    </w:rPr>
  </w:style>
  <w:style w:type="paragraph" w:styleId="Heading7">
    <w:name w:val="heading 7"/>
    <w:basedOn w:val="Normal"/>
    <w:next w:val="Normal"/>
    <w:link w:val="Heading7Char"/>
    <w:qFormat/>
    <w:rsid w:val="00F700A9"/>
    <w:pPr>
      <w:numPr>
        <w:ilvl w:val="6"/>
        <w:numId w:val="7"/>
      </w:numPr>
      <w:tabs>
        <w:tab w:val="num" w:pos="3600"/>
      </w:tabs>
      <w:spacing w:before="240" w:after="60"/>
      <w:ind w:hanging="1080"/>
      <w:outlineLvl w:val="6"/>
    </w:pPr>
    <w:rPr>
      <w:rFonts w:ascii="Arial" w:hAnsi="Arial"/>
      <w:sz w:val="20"/>
    </w:rPr>
  </w:style>
  <w:style w:type="paragraph" w:styleId="Heading8">
    <w:name w:val="heading 8"/>
    <w:basedOn w:val="Normal"/>
    <w:next w:val="Normal"/>
    <w:link w:val="Heading8Char"/>
    <w:qFormat/>
    <w:rsid w:val="00F700A9"/>
    <w:pPr>
      <w:numPr>
        <w:ilvl w:val="7"/>
        <w:numId w:val="7"/>
      </w:numPr>
      <w:tabs>
        <w:tab w:val="num" w:pos="3960"/>
      </w:tabs>
      <w:spacing w:before="240" w:after="60"/>
      <w:ind w:hanging="1224"/>
      <w:outlineLvl w:val="7"/>
    </w:pPr>
    <w:rPr>
      <w:rFonts w:ascii="Arial" w:hAnsi="Arial"/>
      <w:i/>
      <w:sz w:val="20"/>
    </w:rPr>
  </w:style>
  <w:style w:type="paragraph" w:styleId="Heading9">
    <w:name w:val="heading 9"/>
    <w:basedOn w:val="Normal"/>
    <w:next w:val="Normal"/>
    <w:link w:val="Heading9Char"/>
    <w:qFormat/>
    <w:rsid w:val="00F700A9"/>
    <w:pPr>
      <w:numPr>
        <w:ilvl w:val="8"/>
        <w:numId w:val="7"/>
      </w:numPr>
      <w:tabs>
        <w:tab w:val="num" w:pos="4320"/>
      </w:tabs>
      <w:spacing w:before="240" w:after="60"/>
      <w:ind w:hanging="144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F700A9"/>
    <w:rPr>
      <w:rFonts w:ascii="Times New Roman" w:hAnsi="Times New Roman" w:eastAsia="Times New Roman" w:cs="Times New Roman"/>
      <w:b/>
      <w:sz w:val="24"/>
      <w:szCs w:val="20"/>
      <w:lang w:eastAsia="en-GB" w:bidi="ar-SA"/>
    </w:rPr>
  </w:style>
  <w:style w:type="character" w:styleId="Heading3Char" w:customStyle="1">
    <w:name w:val="Heading 3 Char"/>
    <w:basedOn w:val="DefaultParagraphFont"/>
    <w:link w:val="Heading3"/>
    <w:rsid w:val="00F700A9"/>
    <w:rPr>
      <w:rFonts w:asciiTheme="majorHAnsi" w:hAnsiTheme="majorHAnsi" w:eastAsiaTheme="majorEastAsia" w:cstheme="majorBidi"/>
      <w:b/>
      <w:bCs/>
      <w:color w:val="4472C4" w:themeColor="accent1"/>
      <w:sz w:val="24"/>
      <w:szCs w:val="20"/>
      <w:lang w:eastAsia="en-GB" w:bidi="ar-SA"/>
    </w:rPr>
  </w:style>
  <w:style w:type="character" w:styleId="Heading4Char" w:customStyle="1">
    <w:name w:val="Heading 4 Char"/>
    <w:basedOn w:val="DefaultParagraphFont"/>
    <w:link w:val="Heading4"/>
    <w:rsid w:val="00F700A9"/>
    <w:rPr>
      <w:rFonts w:ascii="Times New Roman" w:hAnsi="Times New Roman" w:eastAsia="Times New Roman" w:cs="Times New Roman"/>
      <w:b/>
      <w:sz w:val="24"/>
      <w:szCs w:val="20"/>
      <w:lang w:eastAsia="en-GB" w:bidi="ar-SA"/>
    </w:rPr>
  </w:style>
  <w:style w:type="character" w:styleId="Heading6Char" w:customStyle="1">
    <w:name w:val="Heading 6 Char"/>
    <w:basedOn w:val="DefaultParagraphFont"/>
    <w:link w:val="Heading6"/>
    <w:rsid w:val="00F700A9"/>
    <w:rPr>
      <w:rFonts w:ascii="Times New Roman" w:hAnsi="Times New Roman" w:eastAsia="Times New Roman" w:cs="Times New Roman"/>
      <w:i/>
      <w:szCs w:val="20"/>
      <w:lang w:eastAsia="en-GB" w:bidi="ar-SA"/>
    </w:rPr>
  </w:style>
  <w:style w:type="character" w:styleId="Heading7Char" w:customStyle="1">
    <w:name w:val="Heading 7 Char"/>
    <w:basedOn w:val="DefaultParagraphFont"/>
    <w:link w:val="Heading7"/>
    <w:rsid w:val="00F700A9"/>
    <w:rPr>
      <w:rFonts w:ascii="Arial" w:hAnsi="Arial" w:eastAsia="Times New Roman" w:cs="Times New Roman"/>
      <w:sz w:val="20"/>
      <w:szCs w:val="20"/>
      <w:lang w:eastAsia="en-GB" w:bidi="ar-SA"/>
    </w:rPr>
  </w:style>
  <w:style w:type="character" w:styleId="Heading8Char" w:customStyle="1">
    <w:name w:val="Heading 8 Char"/>
    <w:basedOn w:val="DefaultParagraphFont"/>
    <w:link w:val="Heading8"/>
    <w:rsid w:val="00F700A9"/>
    <w:rPr>
      <w:rFonts w:ascii="Arial" w:hAnsi="Arial" w:eastAsia="Times New Roman" w:cs="Times New Roman"/>
      <w:i/>
      <w:sz w:val="20"/>
      <w:szCs w:val="20"/>
      <w:lang w:eastAsia="en-GB" w:bidi="ar-SA"/>
    </w:rPr>
  </w:style>
  <w:style w:type="character" w:styleId="Heading9Char" w:customStyle="1">
    <w:name w:val="Heading 9 Char"/>
    <w:basedOn w:val="DefaultParagraphFont"/>
    <w:link w:val="Heading9"/>
    <w:rsid w:val="00F700A9"/>
    <w:rPr>
      <w:rFonts w:ascii="Arial" w:hAnsi="Arial" w:eastAsia="Times New Roman" w:cs="Times New Roman"/>
      <w:b/>
      <w:i/>
      <w:sz w:val="18"/>
      <w:szCs w:val="20"/>
      <w:lang w:eastAsia="en-GB" w:bidi="ar-SA"/>
    </w:rPr>
  </w:style>
  <w:style w:type="paragraph" w:styleId="BodyText2">
    <w:name w:val="Body Text 2"/>
    <w:basedOn w:val="Normal"/>
    <w:link w:val="BodyText2Char"/>
    <w:rsid w:val="00F700A9"/>
  </w:style>
  <w:style w:type="character" w:styleId="BodyText2Char" w:customStyle="1">
    <w:name w:val="Body Text 2 Char"/>
    <w:basedOn w:val="DefaultParagraphFont"/>
    <w:link w:val="BodyText2"/>
    <w:rsid w:val="00F700A9"/>
    <w:rPr>
      <w:rFonts w:ascii="Times New Roman" w:hAnsi="Times New Roman" w:eastAsia="Times New Roman" w:cs="Times New Roman"/>
      <w:sz w:val="24"/>
      <w:szCs w:val="20"/>
      <w:lang w:eastAsia="en-GB" w:bidi="ar-SA"/>
    </w:rPr>
  </w:style>
  <w:style w:type="paragraph" w:styleId="Body" w:customStyle="1">
    <w:name w:val="Body"/>
    <w:basedOn w:val="Normal"/>
    <w:link w:val="BodyChar"/>
    <w:rsid w:val="00F700A9"/>
    <w:pPr>
      <w:tabs>
        <w:tab w:val="left" w:pos="851"/>
        <w:tab w:val="left" w:pos="1701"/>
        <w:tab w:val="left" w:pos="2835"/>
        <w:tab w:val="left" w:pos="4253"/>
      </w:tabs>
      <w:spacing w:after="240" w:line="312" w:lineRule="auto"/>
    </w:pPr>
  </w:style>
  <w:style w:type="character" w:styleId="BodyChar" w:customStyle="1">
    <w:name w:val="Body Char"/>
    <w:link w:val="Body"/>
    <w:rsid w:val="00F700A9"/>
    <w:rPr>
      <w:rFonts w:ascii="Times New Roman" w:hAnsi="Times New Roman" w:eastAsia="Times New Roman" w:cs="Times New Roman"/>
      <w:sz w:val="24"/>
      <w:szCs w:val="20"/>
      <w:lang w:eastAsia="en-GB" w:bidi="ar-SA"/>
    </w:rPr>
  </w:style>
  <w:style w:type="paragraph" w:styleId="CharChar5Char" w:customStyle="1">
    <w:name w:val="Char Char5 Char"/>
    <w:basedOn w:val="Normal"/>
    <w:rsid w:val="00F700A9"/>
    <w:pPr>
      <w:jc w:val="left"/>
    </w:pPr>
    <w:rPr>
      <w:sz w:val="20"/>
      <w:lang w:val="en-US" w:eastAsia="en-US"/>
    </w:rPr>
  </w:style>
  <w:style w:type="paragraph" w:styleId="Bullet1" w:customStyle="1">
    <w:name w:val="Bullet 1"/>
    <w:basedOn w:val="Normal"/>
    <w:rsid w:val="00F700A9"/>
    <w:pPr>
      <w:numPr>
        <w:numId w:val="1"/>
      </w:numPr>
      <w:spacing w:after="240" w:line="312" w:lineRule="auto"/>
    </w:pPr>
  </w:style>
  <w:style w:type="paragraph" w:styleId="Bullet2" w:customStyle="1">
    <w:name w:val="Bullet 2"/>
    <w:basedOn w:val="Normal"/>
    <w:rsid w:val="00F700A9"/>
    <w:pPr>
      <w:numPr>
        <w:ilvl w:val="1"/>
        <w:numId w:val="1"/>
      </w:numPr>
      <w:tabs>
        <w:tab w:val="left" w:pos="851"/>
      </w:tabs>
      <w:spacing w:after="240" w:line="312" w:lineRule="auto"/>
    </w:pPr>
  </w:style>
  <w:style w:type="paragraph" w:styleId="Bullet3" w:customStyle="1">
    <w:name w:val="Bullet 3"/>
    <w:basedOn w:val="Normal"/>
    <w:rsid w:val="00F700A9"/>
    <w:pPr>
      <w:numPr>
        <w:ilvl w:val="2"/>
        <w:numId w:val="1"/>
      </w:numPr>
      <w:tabs>
        <w:tab w:val="left" w:pos="1701"/>
      </w:tabs>
      <w:spacing w:after="240" w:line="312" w:lineRule="auto"/>
    </w:pPr>
  </w:style>
  <w:style w:type="paragraph" w:styleId="Body1" w:customStyle="1">
    <w:name w:val="Body 1"/>
    <w:basedOn w:val="Heading1"/>
    <w:rsid w:val="00F700A9"/>
    <w:pPr>
      <w:keepNext w:val="0"/>
      <w:widowControl w:val="0"/>
      <w:spacing w:line="360" w:lineRule="auto"/>
      <w:jc w:val="both"/>
      <w:outlineLvl w:val="9"/>
    </w:pPr>
    <w:rPr>
      <w:b w:val="0"/>
      <w:kern w:val="28"/>
      <w:sz w:val="22"/>
      <w:lang w:eastAsia="en-US"/>
    </w:rPr>
  </w:style>
  <w:style w:type="paragraph" w:styleId="ListParagraph">
    <w:name w:val="List Paragraph"/>
    <w:basedOn w:val="Normal"/>
    <w:uiPriority w:val="34"/>
    <w:qFormat/>
    <w:rsid w:val="00F700A9"/>
    <w:pPr>
      <w:ind w:left="720"/>
      <w:contextualSpacing/>
    </w:pPr>
  </w:style>
  <w:style w:type="paragraph" w:styleId="Level1" w:customStyle="1">
    <w:name w:val="Level 1"/>
    <w:basedOn w:val="Body1"/>
    <w:rsid w:val="00F700A9"/>
    <w:pPr>
      <w:widowControl/>
      <w:numPr>
        <w:numId w:val="3"/>
      </w:numPr>
      <w:spacing w:after="240" w:line="312" w:lineRule="auto"/>
      <w:outlineLvl w:val="0"/>
    </w:pPr>
    <w:rPr>
      <w:kern w:val="0"/>
      <w:sz w:val="24"/>
      <w:lang w:eastAsia="en-GB"/>
    </w:rPr>
  </w:style>
  <w:style w:type="paragraph" w:styleId="Level2" w:customStyle="1">
    <w:name w:val="Level 2"/>
    <w:basedOn w:val="Normal"/>
    <w:rsid w:val="00F700A9"/>
    <w:pPr>
      <w:numPr>
        <w:ilvl w:val="1"/>
        <w:numId w:val="3"/>
      </w:numPr>
      <w:spacing w:after="240" w:line="312" w:lineRule="auto"/>
      <w:outlineLvl w:val="1"/>
    </w:pPr>
  </w:style>
  <w:style w:type="paragraph" w:styleId="Level3" w:customStyle="1">
    <w:name w:val="Level 3"/>
    <w:basedOn w:val="Normal"/>
    <w:rsid w:val="00F700A9"/>
    <w:pPr>
      <w:numPr>
        <w:ilvl w:val="2"/>
        <w:numId w:val="3"/>
      </w:numPr>
      <w:spacing w:after="240" w:line="312" w:lineRule="auto"/>
      <w:outlineLvl w:val="2"/>
    </w:pPr>
  </w:style>
  <w:style w:type="paragraph" w:styleId="Level4" w:customStyle="1">
    <w:name w:val="Level 4"/>
    <w:basedOn w:val="Normal"/>
    <w:rsid w:val="00F700A9"/>
    <w:pPr>
      <w:numPr>
        <w:ilvl w:val="3"/>
        <w:numId w:val="3"/>
      </w:numPr>
      <w:spacing w:after="240" w:line="312" w:lineRule="auto"/>
      <w:outlineLvl w:val="3"/>
    </w:pPr>
  </w:style>
  <w:style w:type="paragraph" w:styleId="Level5" w:customStyle="1">
    <w:name w:val="Level 5"/>
    <w:basedOn w:val="Normal"/>
    <w:rsid w:val="00F700A9"/>
    <w:pPr>
      <w:numPr>
        <w:ilvl w:val="4"/>
        <w:numId w:val="3"/>
      </w:numPr>
      <w:spacing w:after="240" w:line="312" w:lineRule="auto"/>
      <w:outlineLvl w:val="4"/>
    </w:pPr>
  </w:style>
  <w:style w:type="paragraph" w:styleId="BodyTextIndent2">
    <w:name w:val="Body Text Indent 2"/>
    <w:basedOn w:val="Normal"/>
    <w:link w:val="BodyTextIndent2Char"/>
    <w:uiPriority w:val="99"/>
    <w:semiHidden/>
    <w:unhideWhenUsed/>
    <w:rsid w:val="00F700A9"/>
    <w:pPr>
      <w:spacing w:after="120" w:line="480" w:lineRule="auto"/>
      <w:ind w:left="283"/>
    </w:pPr>
  </w:style>
  <w:style w:type="character" w:styleId="BodyTextIndent2Char" w:customStyle="1">
    <w:name w:val="Body Text Indent 2 Char"/>
    <w:basedOn w:val="DefaultParagraphFont"/>
    <w:link w:val="BodyTextIndent2"/>
    <w:uiPriority w:val="99"/>
    <w:semiHidden/>
    <w:rsid w:val="00F700A9"/>
    <w:rPr>
      <w:rFonts w:ascii="Times New Roman" w:hAnsi="Times New Roman" w:eastAsia="Times New Roman" w:cs="Times New Roman"/>
      <w:sz w:val="24"/>
      <w:szCs w:val="20"/>
      <w:lang w:eastAsia="en-GB" w:bidi="ar-SA"/>
    </w:rPr>
  </w:style>
  <w:style w:type="paragraph" w:styleId="NormalIndent">
    <w:name w:val="Normal Indent"/>
    <w:basedOn w:val="Normal"/>
    <w:rsid w:val="00F700A9"/>
    <w:pPr>
      <w:widowControl w:val="0"/>
      <w:spacing w:line="360" w:lineRule="auto"/>
    </w:pPr>
    <w:rPr>
      <w:sz w:val="22"/>
      <w:lang w:eastAsia="en-US"/>
    </w:rPr>
  </w:style>
  <w:style w:type="paragraph" w:styleId="Appendix4" w:customStyle="1">
    <w:name w:val="Appendix 4"/>
    <w:basedOn w:val="Normal"/>
    <w:rsid w:val="00F700A9"/>
    <w:pPr>
      <w:numPr>
        <w:numId w:val="5"/>
      </w:numPr>
      <w:jc w:val="left"/>
    </w:pPr>
    <w:rPr>
      <w:lang w:eastAsia="en-US"/>
    </w:rPr>
  </w:style>
  <w:style w:type="character" w:styleId="DeltaViewInsertion" w:customStyle="1">
    <w:name w:val="DeltaView Insertion"/>
    <w:rsid w:val="00F700A9"/>
    <w:rPr>
      <w:color w:val="0000FF"/>
      <w:spacing w:val="0"/>
      <w:u w:val="double"/>
    </w:rPr>
  </w:style>
  <w:style w:type="paragraph" w:styleId="Body6" w:customStyle="1">
    <w:name w:val="Body 6"/>
    <w:basedOn w:val="Heading6"/>
    <w:rsid w:val="00F700A9"/>
    <w:pPr>
      <w:numPr>
        <w:ilvl w:val="0"/>
        <w:numId w:val="0"/>
      </w:numPr>
      <w:spacing w:before="0" w:after="0" w:line="360" w:lineRule="auto"/>
      <w:outlineLvl w:val="9"/>
    </w:pPr>
    <w:rPr>
      <w:i w:val="0"/>
      <w:kern w:val="28"/>
      <w:lang w:eastAsia="en-US"/>
    </w:rPr>
  </w:style>
  <w:style w:type="paragraph" w:styleId="CharChar3" w:customStyle="1">
    <w:name w:val="Char Char3"/>
    <w:basedOn w:val="Normal"/>
    <w:rsid w:val="00F700A9"/>
    <w:pPr>
      <w:spacing w:after="160" w:line="240" w:lineRule="exact"/>
      <w:jc w:val="left"/>
    </w:pPr>
    <w:rPr>
      <w:rFonts w:ascii="Tahoma" w:hAnsi="Tahoma"/>
      <w:sz w:val="20"/>
      <w:lang w:val="en-US" w:eastAsia="en-US"/>
    </w:rPr>
  </w:style>
  <w:style w:type="paragraph" w:styleId="CharChar5Char1" w:customStyle="1">
    <w:name w:val="Char Char5 Char1"/>
    <w:basedOn w:val="Normal"/>
    <w:rsid w:val="00F700A9"/>
    <w:pPr>
      <w:jc w:val="left"/>
    </w:pPr>
    <w:rPr>
      <w:sz w:val="20"/>
      <w:lang w:val="en-US" w:eastAsia="en-US"/>
    </w:rPr>
  </w:style>
  <w:style w:type="character" w:styleId="PageNumber">
    <w:name w:val="page number"/>
    <w:rsid w:val="00F700A9"/>
    <w:rPr>
      <w:rFonts w:ascii="Times New Roman" w:hAnsi="Times New Roman"/>
      <w:sz w:val="20"/>
    </w:rPr>
  </w:style>
  <w:style w:type="paragraph" w:styleId="Rule1" w:customStyle="1">
    <w:name w:val="Rule 1"/>
    <w:basedOn w:val="Body1"/>
    <w:rsid w:val="00F700A9"/>
    <w:pPr>
      <w:keepNext/>
      <w:widowControl/>
      <w:numPr>
        <w:numId w:val="8"/>
      </w:numPr>
      <w:spacing w:after="240" w:line="312" w:lineRule="auto"/>
    </w:pPr>
    <w:rPr>
      <w:b/>
      <w:kern w:val="0"/>
      <w:sz w:val="24"/>
      <w:lang w:eastAsia="en-GB"/>
    </w:rPr>
  </w:style>
  <w:style w:type="paragraph" w:styleId="Rule2" w:customStyle="1">
    <w:name w:val="Rule 2"/>
    <w:basedOn w:val="Normal"/>
    <w:rsid w:val="00F700A9"/>
    <w:pPr>
      <w:numPr>
        <w:ilvl w:val="1"/>
        <w:numId w:val="8"/>
      </w:numPr>
      <w:spacing w:after="240" w:line="312" w:lineRule="auto"/>
    </w:pPr>
  </w:style>
  <w:style w:type="paragraph" w:styleId="Rule3" w:customStyle="1">
    <w:name w:val="Rule 3"/>
    <w:basedOn w:val="Normal"/>
    <w:rsid w:val="00F700A9"/>
    <w:pPr>
      <w:numPr>
        <w:ilvl w:val="2"/>
        <w:numId w:val="8"/>
      </w:numPr>
      <w:spacing w:after="240" w:line="312" w:lineRule="auto"/>
    </w:pPr>
  </w:style>
  <w:style w:type="paragraph" w:styleId="Rule4" w:customStyle="1">
    <w:name w:val="Rule 4"/>
    <w:basedOn w:val="Normal"/>
    <w:rsid w:val="00F700A9"/>
    <w:pPr>
      <w:numPr>
        <w:ilvl w:val="3"/>
        <w:numId w:val="8"/>
      </w:numPr>
      <w:spacing w:after="240" w:line="312" w:lineRule="auto"/>
    </w:pPr>
  </w:style>
  <w:style w:type="paragraph" w:styleId="Rule5" w:customStyle="1">
    <w:name w:val="Rule 5"/>
    <w:basedOn w:val="Normal"/>
    <w:rsid w:val="00F700A9"/>
    <w:pPr>
      <w:numPr>
        <w:ilvl w:val="4"/>
        <w:numId w:val="8"/>
      </w:numPr>
      <w:spacing w:after="240" w:line="312" w:lineRule="auto"/>
    </w:pPr>
  </w:style>
  <w:style w:type="paragraph" w:styleId="CharChar31" w:customStyle="1">
    <w:name w:val="Char Char31"/>
    <w:basedOn w:val="Normal"/>
    <w:rsid w:val="00F700A9"/>
    <w:pPr>
      <w:spacing w:after="160" w:line="240" w:lineRule="exact"/>
      <w:jc w:val="left"/>
    </w:pPr>
    <w:rPr>
      <w:rFonts w:ascii="Tahoma" w:hAnsi="Tahoma"/>
      <w:sz w:val="20"/>
      <w:lang w:val="en-US" w:eastAsia="en-US"/>
    </w:rPr>
  </w:style>
  <w:style w:type="paragraph" w:styleId="FootnoteText">
    <w:name w:val="footnote text"/>
    <w:basedOn w:val="Normal"/>
    <w:link w:val="FootnoteTextChar"/>
    <w:uiPriority w:val="29"/>
    <w:semiHidden/>
    <w:unhideWhenUsed/>
    <w:rsid w:val="00F700A9"/>
    <w:rPr>
      <w:sz w:val="20"/>
    </w:rPr>
  </w:style>
  <w:style w:type="character" w:styleId="FootnoteTextChar" w:customStyle="1">
    <w:name w:val="Footnote Text Char"/>
    <w:basedOn w:val="DefaultParagraphFont"/>
    <w:link w:val="FootnoteText"/>
    <w:uiPriority w:val="29"/>
    <w:semiHidden/>
    <w:rsid w:val="00F700A9"/>
    <w:rPr>
      <w:rFonts w:ascii="Times New Roman" w:hAnsi="Times New Roman" w:eastAsia="Times New Roman" w:cs="Times New Roman"/>
      <w:sz w:val="20"/>
      <w:szCs w:val="20"/>
      <w:lang w:eastAsia="en-GB" w:bidi="ar-SA"/>
    </w:rPr>
  </w:style>
  <w:style w:type="character" w:styleId="FootnoteReference">
    <w:name w:val="footnote reference"/>
    <w:basedOn w:val="DefaultParagraphFont"/>
    <w:uiPriority w:val="29"/>
    <w:semiHidden/>
    <w:unhideWhenUsed/>
    <w:rsid w:val="00F700A9"/>
    <w:rPr>
      <w:vertAlign w:val="superscript"/>
    </w:rPr>
  </w:style>
  <w:style w:type="paragraph" w:styleId="BalloonText">
    <w:name w:val="Balloon Text"/>
    <w:basedOn w:val="Normal"/>
    <w:link w:val="BalloonTextChar"/>
    <w:uiPriority w:val="99"/>
    <w:semiHidden/>
    <w:unhideWhenUsed/>
    <w:rsid w:val="00F700A9"/>
    <w:rPr>
      <w:rFonts w:ascii="Tahoma" w:hAnsi="Tahoma" w:cs="Tahoma"/>
      <w:sz w:val="16"/>
      <w:szCs w:val="16"/>
    </w:rPr>
  </w:style>
  <w:style w:type="character" w:styleId="BalloonTextChar" w:customStyle="1">
    <w:name w:val="Balloon Text Char"/>
    <w:basedOn w:val="DefaultParagraphFont"/>
    <w:link w:val="BalloonText"/>
    <w:uiPriority w:val="99"/>
    <w:semiHidden/>
    <w:rsid w:val="00F700A9"/>
    <w:rPr>
      <w:rFonts w:ascii="Tahoma" w:hAnsi="Tahoma" w:eastAsia="Times New Roman" w:cs="Tahoma"/>
      <w:sz w:val="16"/>
      <w:szCs w:val="16"/>
      <w:lang w:eastAsia="en-GB" w:bidi="ar-SA"/>
    </w:rPr>
  </w:style>
  <w:style w:type="paragraph" w:styleId="Header">
    <w:name w:val="header"/>
    <w:basedOn w:val="Normal"/>
    <w:link w:val="HeaderChar"/>
    <w:uiPriority w:val="99"/>
    <w:unhideWhenUsed/>
    <w:rsid w:val="00F700A9"/>
    <w:pPr>
      <w:tabs>
        <w:tab w:val="center" w:pos="4513"/>
        <w:tab w:val="right" w:pos="9026"/>
      </w:tabs>
    </w:pPr>
  </w:style>
  <w:style w:type="character" w:styleId="HeaderChar" w:customStyle="1">
    <w:name w:val="Header Char"/>
    <w:basedOn w:val="DefaultParagraphFont"/>
    <w:link w:val="Header"/>
    <w:uiPriority w:val="99"/>
    <w:rsid w:val="00F700A9"/>
    <w:rPr>
      <w:rFonts w:ascii="Times New Roman" w:hAnsi="Times New Roman" w:eastAsia="Times New Roman" w:cs="Times New Roman"/>
      <w:sz w:val="24"/>
      <w:szCs w:val="20"/>
      <w:lang w:eastAsia="en-GB" w:bidi="ar-SA"/>
    </w:rPr>
  </w:style>
  <w:style w:type="paragraph" w:styleId="Footer">
    <w:name w:val="footer"/>
    <w:basedOn w:val="Normal"/>
    <w:link w:val="FooterChar"/>
    <w:uiPriority w:val="99"/>
    <w:unhideWhenUsed/>
    <w:rsid w:val="00F700A9"/>
    <w:pPr>
      <w:tabs>
        <w:tab w:val="center" w:pos="4513"/>
        <w:tab w:val="right" w:pos="9026"/>
      </w:tabs>
    </w:pPr>
  </w:style>
  <w:style w:type="character" w:styleId="FooterChar" w:customStyle="1">
    <w:name w:val="Footer Char"/>
    <w:basedOn w:val="DefaultParagraphFont"/>
    <w:link w:val="Footer"/>
    <w:uiPriority w:val="99"/>
    <w:rsid w:val="00F700A9"/>
    <w:rPr>
      <w:rFonts w:ascii="Times New Roman" w:hAnsi="Times New Roman" w:eastAsia="Times New Roman" w:cs="Times New Roman"/>
      <w:sz w:val="24"/>
      <w:szCs w:val="20"/>
      <w:lang w:eastAsia="en-GB" w:bidi="ar-SA"/>
    </w:rPr>
  </w:style>
  <w:style w:type="character" w:styleId="HTMLCite">
    <w:name w:val="HTML Cite"/>
    <w:basedOn w:val="DefaultParagraphFont"/>
    <w:uiPriority w:val="99"/>
    <w:semiHidden/>
    <w:unhideWhenUsed/>
    <w:rsid w:val="00F700A9"/>
    <w:rPr>
      <w:i/>
      <w:iCs/>
    </w:rPr>
  </w:style>
  <w:style w:type="character" w:styleId="Hyperlink">
    <w:name w:val="Hyperlink"/>
    <w:basedOn w:val="DefaultParagraphFont"/>
    <w:uiPriority w:val="99"/>
    <w:unhideWhenUsed/>
    <w:rsid w:val="00F700A9"/>
    <w:rPr>
      <w:color w:val="0563C1" w:themeColor="hyperlink"/>
      <w:u w:val="single"/>
    </w:rPr>
  </w:style>
  <w:style w:type="paragraph" w:styleId="CharChar5Char2" w:customStyle="1">
    <w:name w:val="Char Char5 Char2"/>
    <w:basedOn w:val="Normal"/>
    <w:rsid w:val="00F700A9"/>
    <w:pPr>
      <w:jc w:val="left"/>
    </w:pPr>
    <w:rPr>
      <w:sz w:val="20"/>
      <w:lang w:val="en-US" w:eastAsia="en-US"/>
    </w:rPr>
  </w:style>
  <w:style w:type="table" w:styleId="TableGrid">
    <w:name w:val="Table Grid"/>
    <w:basedOn w:val="TableNormal"/>
    <w:uiPriority w:val="59"/>
    <w:rsid w:val="00F700A9"/>
    <w:pPr>
      <w:spacing w:after="0" w:line="240" w:lineRule="auto"/>
    </w:pPr>
    <w:rPr>
      <w:rFonts w:ascii="Times New Roman" w:hAnsi="Times New Roman" w:eastAsiaTheme="minorHAnsi"/>
      <w:szCs w:val="22"/>
      <w:lang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2" w:customStyle="1">
    <w:name w:val="Body 2"/>
    <w:basedOn w:val="Body"/>
    <w:rsid w:val="00F700A9"/>
    <w:pPr>
      <w:tabs>
        <w:tab w:val="clear" w:pos="1701"/>
        <w:tab w:val="clear" w:pos="2835"/>
        <w:tab w:val="clear" w:pos="4253"/>
      </w:tabs>
      <w:ind w:left="851"/>
    </w:pPr>
  </w:style>
  <w:style w:type="paragraph" w:styleId="Default" w:customStyle="1">
    <w:name w:val="Default"/>
    <w:rsid w:val="00F700A9"/>
    <w:pPr>
      <w:autoSpaceDE w:val="0"/>
      <w:autoSpaceDN w:val="0"/>
      <w:adjustRightInd w:val="0"/>
      <w:spacing w:after="0" w:line="240" w:lineRule="auto"/>
    </w:pPr>
    <w:rPr>
      <w:rFonts w:ascii="Bliss Light" w:hAnsi="Bliss Light" w:cs="Bliss Light" w:eastAsiaTheme="minorHAnsi"/>
      <w:color w:val="000000"/>
      <w:sz w:val="24"/>
      <w:szCs w:val="24"/>
      <w:lang w:eastAsia="en-US" w:bidi="ar-SA"/>
    </w:rPr>
  </w:style>
  <w:style w:type="character" w:styleId="CommentReference">
    <w:name w:val="annotation reference"/>
    <w:basedOn w:val="DefaultParagraphFont"/>
    <w:uiPriority w:val="99"/>
    <w:unhideWhenUsed/>
    <w:rsid w:val="00F700A9"/>
    <w:rPr>
      <w:sz w:val="16"/>
      <w:szCs w:val="16"/>
    </w:rPr>
  </w:style>
  <w:style w:type="paragraph" w:styleId="CommentText">
    <w:name w:val="annotation text"/>
    <w:basedOn w:val="Normal"/>
    <w:link w:val="CommentTextChar"/>
    <w:unhideWhenUsed/>
    <w:rsid w:val="00F700A9"/>
    <w:rPr>
      <w:sz w:val="20"/>
    </w:rPr>
  </w:style>
  <w:style w:type="character" w:styleId="CommentTextChar" w:customStyle="1">
    <w:name w:val="Comment Text Char"/>
    <w:basedOn w:val="DefaultParagraphFont"/>
    <w:link w:val="CommentText"/>
    <w:rsid w:val="00F700A9"/>
    <w:rPr>
      <w:rFonts w:ascii="Times New Roman" w:hAnsi="Times New Roman" w:eastAsia="Times New Roman" w:cs="Times New Roman"/>
      <w:sz w:val="20"/>
      <w:szCs w:val="20"/>
      <w:lang w:eastAsia="en-GB" w:bidi="ar-SA"/>
    </w:rPr>
  </w:style>
  <w:style w:type="paragraph" w:styleId="CommentSubject">
    <w:name w:val="annotation subject"/>
    <w:basedOn w:val="CommentText"/>
    <w:next w:val="CommentText"/>
    <w:link w:val="CommentSubjectChar"/>
    <w:uiPriority w:val="99"/>
    <w:semiHidden/>
    <w:unhideWhenUsed/>
    <w:rsid w:val="00F700A9"/>
    <w:rPr>
      <w:b/>
      <w:bCs/>
    </w:rPr>
  </w:style>
  <w:style w:type="character" w:styleId="CommentSubjectChar" w:customStyle="1">
    <w:name w:val="Comment Subject Char"/>
    <w:basedOn w:val="CommentTextChar"/>
    <w:link w:val="CommentSubject"/>
    <w:uiPriority w:val="99"/>
    <w:semiHidden/>
    <w:rsid w:val="00F700A9"/>
    <w:rPr>
      <w:rFonts w:ascii="Times New Roman" w:hAnsi="Times New Roman" w:eastAsia="Times New Roman" w:cs="Times New Roman"/>
      <w:b/>
      <w:bCs/>
      <w:sz w:val="20"/>
      <w:szCs w:val="20"/>
      <w:lang w:eastAsia="en-GB" w:bidi="ar-SA"/>
    </w:rPr>
  </w:style>
  <w:style w:type="paragraph" w:styleId="Revision">
    <w:name w:val="Revision"/>
    <w:hidden/>
    <w:uiPriority w:val="99"/>
    <w:semiHidden/>
    <w:rsid w:val="00F700A9"/>
    <w:pPr>
      <w:spacing w:after="0" w:line="240" w:lineRule="auto"/>
    </w:pPr>
    <w:rPr>
      <w:rFonts w:ascii="Times New Roman" w:hAnsi="Times New Roman" w:eastAsia="Times New Roman" w:cs="Times New Roman"/>
      <w:sz w:val="24"/>
      <w:szCs w:val="20"/>
      <w:lang w:eastAsia="en-GB" w:bidi="ar-SA"/>
    </w:rPr>
  </w:style>
  <w:style w:type="paragraph" w:styleId="BodyText1" w:customStyle="1">
    <w:name w:val="Body Text1"/>
    <w:link w:val="BodytextChar"/>
    <w:rsid w:val="00F700A9"/>
    <w:pPr>
      <w:spacing w:after="0" w:line="240" w:lineRule="auto"/>
      <w:jc w:val="both"/>
    </w:pPr>
    <w:rPr>
      <w:rFonts w:ascii="Times New Roman" w:hAnsi="Times New Roman" w:eastAsia="Times New Roman" w:cs="Times New Roman"/>
      <w:snapToGrid w:val="0"/>
      <w:color w:val="000000"/>
      <w:sz w:val="18"/>
      <w:szCs w:val="20"/>
      <w:lang w:eastAsia="en-US" w:bidi="ar-SA"/>
    </w:rPr>
  </w:style>
  <w:style w:type="character" w:styleId="BodytextChar" w:customStyle="1">
    <w:name w:val="Body text Char"/>
    <w:link w:val="BodyText1"/>
    <w:rsid w:val="00F700A9"/>
    <w:rPr>
      <w:rFonts w:ascii="Times New Roman" w:hAnsi="Times New Roman" w:eastAsia="Times New Roman" w:cs="Times New Roman"/>
      <w:snapToGrid w:val="0"/>
      <w:color w:val="000000"/>
      <w:sz w:val="18"/>
      <w:szCs w:val="20"/>
      <w:lang w:eastAsia="en-US" w:bidi="ar-SA"/>
    </w:rPr>
  </w:style>
  <w:style w:type="paragraph" w:styleId="BodyText">
    <w:name w:val="Body Text"/>
    <w:basedOn w:val="Normal"/>
    <w:link w:val="BodyTextChar0"/>
    <w:uiPriority w:val="99"/>
    <w:unhideWhenUsed/>
    <w:rsid w:val="00F700A9"/>
    <w:pPr>
      <w:spacing w:after="120"/>
    </w:pPr>
  </w:style>
  <w:style w:type="character" w:styleId="BodyTextChar0" w:customStyle="1">
    <w:name w:val="Body Text Char"/>
    <w:basedOn w:val="DefaultParagraphFont"/>
    <w:link w:val="BodyText"/>
    <w:uiPriority w:val="99"/>
    <w:rsid w:val="00F700A9"/>
    <w:rPr>
      <w:rFonts w:ascii="Times New Roman" w:hAnsi="Times New Roman" w:eastAsia="Times New Roman" w:cs="Times New Roman"/>
      <w:sz w:val="24"/>
      <w:szCs w:val="20"/>
      <w:lang w:eastAsia="en-GB" w:bidi="ar-SA"/>
    </w:rPr>
  </w:style>
  <w:style w:type="paragraph" w:styleId="DocID" w:customStyle="1">
    <w:name w:val="DocID"/>
    <w:basedOn w:val="BodyText"/>
    <w:next w:val="Footer"/>
    <w:link w:val="DocIDChar"/>
    <w:rsid w:val="00E858D9"/>
    <w:pPr>
      <w:spacing w:after="0"/>
      <w:jc w:val="left"/>
    </w:pPr>
    <w:rPr>
      <w:rFonts w:ascii="Arial" w:hAnsi="Arial" w:cs="Arial"/>
      <w:color w:val="000000"/>
      <w:sz w:val="16"/>
    </w:rPr>
  </w:style>
  <w:style w:type="character" w:styleId="DocIDChar" w:customStyle="1">
    <w:name w:val="DocID Char"/>
    <w:basedOn w:val="DefaultParagraphFont"/>
    <w:link w:val="DocID"/>
    <w:rsid w:val="00E858D9"/>
    <w:rPr>
      <w:rFonts w:ascii="Arial" w:hAnsi="Arial" w:eastAsia="Times New Roman" w:cs="Arial"/>
      <w:color w:val="000000"/>
      <w:sz w:val="16"/>
      <w:szCs w:val="20"/>
      <w:lang w:eastAsia="en-GB" w:bidi="ar-SA"/>
    </w:rPr>
  </w:style>
  <w:style w:type="character" w:styleId="SubtleReference">
    <w:name w:val="Subtle Reference"/>
    <w:basedOn w:val="DefaultParagraphFont"/>
    <w:uiPriority w:val="31"/>
    <w:qFormat/>
    <w:rsid w:val="00F700A9"/>
    <w:rPr>
      <w:smallCaps/>
      <w:color w:val="ED7D31" w:themeColor="accent2"/>
      <w:u w:val="single"/>
    </w:rPr>
  </w:style>
  <w:style w:type="paragraph" w:styleId="NoSpacing">
    <w:name w:val="No Spacing"/>
    <w:uiPriority w:val="1"/>
    <w:qFormat/>
    <w:rsid w:val="005B2BF1"/>
    <w:pPr>
      <w:spacing w:after="0" w:line="240" w:lineRule="auto"/>
      <w:jc w:val="both"/>
    </w:pPr>
    <w:rPr>
      <w:rFonts w:ascii="Times New Roman" w:hAnsi="Times New Roman" w:eastAsia="Times New Roman" w:cs="Times New Roman"/>
      <w:sz w:val="24"/>
      <w:szCs w:val="20"/>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63919">
      <w:bodyDiv w:val="1"/>
      <w:marLeft w:val="0"/>
      <w:marRight w:val="0"/>
      <w:marTop w:val="0"/>
      <w:marBottom w:val="0"/>
      <w:divBdr>
        <w:top w:val="none" w:sz="0" w:space="0" w:color="auto"/>
        <w:left w:val="none" w:sz="0" w:space="0" w:color="auto"/>
        <w:bottom w:val="none" w:sz="0" w:space="0" w:color="auto"/>
        <w:right w:val="none" w:sz="0" w:space="0" w:color="auto"/>
      </w:divBdr>
    </w:div>
    <w:div w:id="440104630">
      <w:bodyDiv w:val="1"/>
      <w:marLeft w:val="0"/>
      <w:marRight w:val="0"/>
      <w:marTop w:val="0"/>
      <w:marBottom w:val="0"/>
      <w:divBdr>
        <w:top w:val="none" w:sz="0" w:space="0" w:color="auto"/>
        <w:left w:val="none" w:sz="0" w:space="0" w:color="auto"/>
        <w:bottom w:val="none" w:sz="0" w:space="0" w:color="auto"/>
        <w:right w:val="none" w:sz="0" w:space="0" w:color="auto"/>
      </w:divBdr>
    </w:div>
    <w:div w:id="634601078">
      <w:bodyDiv w:val="1"/>
      <w:marLeft w:val="0"/>
      <w:marRight w:val="0"/>
      <w:marTop w:val="0"/>
      <w:marBottom w:val="0"/>
      <w:divBdr>
        <w:top w:val="none" w:sz="0" w:space="0" w:color="auto"/>
        <w:left w:val="none" w:sz="0" w:space="0" w:color="auto"/>
        <w:bottom w:val="none" w:sz="0" w:space="0" w:color="auto"/>
        <w:right w:val="none" w:sz="0" w:space="0" w:color="auto"/>
      </w:divBdr>
    </w:div>
    <w:div w:id="812259235">
      <w:bodyDiv w:val="1"/>
      <w:marLeft w:val="0"/>
      <w:marRight w:val="0"/>
      <w:marTop w:val="0"/>
      <w:marBottom w:val="0"/>
      <w:divBdr>
        <w:top w:val="none" w:sz="0" w:space="0" w:color="auto"/>
        <w:left w:val="none" w:sz="0" w:space="0" w:color="auto"/>
        <w:bottom w:val="none" w:sz="0" w:space="0" w:color="auto"/>
        <w:right w:val="none" w:sz="0" w:space="0" w:color="auto"/>
      </w:divBdr>
    </w:div>
    <w:div w:id="836578735">
      <w:bodyDiv w:val="1"/>
      <w:marLeft w:val="0"/>
      <w:marRight w:val="0"/>
      <w:marTop w:val="0"/>
      <w:marBottom w:val="0"/>
      <w:divBdr>
        <w:top w:val="none" w:sz="0" w:space="0" w:color="auto"/>
        <w:left w:val="none" w:sz="0" w:space="0" w:color="auto"/>
        <w:bottom w:val="none" w:sz="0" w:space="0" w:color="auto"/>
        <w:right w:val="none" w:sz="0" w:space="0" w:color="auto"/>
      </w:divBdr>
    </w:div>
    <w:div w:id="1152483018">
      <w:bodyDiv w:val="1"/>
      <w:marLeft w:val="0"/>
      <w:marRight w:val="0"/>
      <w:marTop w:val="0"/>
      <w:marBottom w:val="0"/>
      <w:divBdr>
        <w:top w:val="none" w:sz="0" w:space="0" w:color="auto"/>
        <w:left w:val="none" w:sz="0" w:space="0" w:color="auto"/>
        <w:bottom w:val="none" w:sz="0" w:space="0" w:color="auto"/>
        <w:right w:val="none" w:sz="0" w:space="0" w:color="auto"/>
      </w:divBdr>
    </w:div>
    <w:div w:id="1183325039">
      <w:bodyDiv w:val="1"/>
      <w:marLeft w:val="0"/>
      <w:marRight w:val="0"/>
      <w:marTop w:val="0"/>
      <w:marBottom w:val="0"/>
      <w:divBdr>
        <w:top w:val="none" w:sz="0" w:space="0" w:color="auto"/>
        <w:left w:val="none" w:sz="0" w:space="0" w:color="auto"/>
        <w:bottom w:val="none" w:sz="0" w:space="0" w:color="auto"/>
        <w:right w:val="none" w:sz="0" w:space="0" w:color="auto"/>
      </w:divBdr>
    </w:div>
    <w:div w:id="1254363118">
      <w:bodyDiv w:val="1"/>
      <w:marLeft w:val="0"/>
      <w:marRight w:val="0"/>
      <w:marTop w:val="0"/>
      <w:marBottom w:val="0"/>
      <w:divBdr>
        <w:top w:val="none" w:sz="0" w:space="0" w:color="auto"/>
        <w:left w:val="none" w:sz="0" w:space="0" w:color="auto"/>
        <w:bottom w:val="none" w:sz="0" w:space="0" w:color="auto"/>
        <w:right w:val="none" w:sz="0" w:space="0" w:color="auto"/>
      </w:divBdr>
    </w:div>
    <w:div w:id="1567060196">
      <w:bodyDiv w:val="1"/>
      <w:marLeft w:val="0"/>
      <w:marRight w:val="0"/>
      <w:marTop w:val="0"/>
      <w:marBottom w:val="0"/>
      <w:divBdr>
        <w:top w:val="none" w:sz="0" w:space="0" w:color="auto"/>
        <w:left w:val="none" w:sz="0" w:space="0" w:color="auto"/>
        <w:bottom w:val="none" w:sz="0" w:space="0" w:color="auto"/>
        <w:right w:val="none" w:sz="0" w:space="0" w:color="auto"/>
      </w:divBdr>
    </w:div>
    <w:div w:id="1591163066">
      <w:bodyDiv w:val="1"/>
      <w:marLeft w:val="0"/>
      <w:marRight w:val="0"/>
      <w:marTop w:val="0"/>
      <w:marBottom w:val="0"/>
      <w:divBdr>
        <w:top w:val="none" w:sz="0" w:space="0" w:color="auto"/>
        <w:left w:val="none" w:sz="0" w:space="0" w:color="auto"/>
        <w:bottom w:val="none" w:sz="0" w:space="0" w:color="auto"/>
        <w:right w:val="none" w:sz="0" w:space="0" w:color="auto"/>
      </w:divBdr>
    </w:div>
    <w:div w:id="2009677295">
      <w:bodyDiv w:val="1"/>
      <w:marLeft w:val="0"/>
      <w:marRight w:val="0"/>
      <w:marTop w:val="0"/>
      <w:marBottom w:val="0"/>
      <w:divBdr>
        <w:top w:val="none" w:sz="0" w:space="0" w:color="auto"/>
        <w:left w:val="none" w:sz="0" w:space="0" w:color="auto"/>
        <w:bottom w:val="none" w:sz="0" w:space="0" w:color="auto"/>
        <w:right w:val="none" w:sz="0" w:space="0" w:color="auto"/>
      </w:divBdr>
    </w:div>
    <w:div w:id="2118063071">
      <w:bodyDiv w:val="1"/>
      <w:marLeft w:val="0"/>
      <w:marRight w:val="0"/>
      <w:marTop w:val="0"/>
      <w:marBottom w:val="0"/>
      <w:divBdr>
        <w:top w:val="none" w:sz="0" w:space="0" w:color="auto"/>
        <w:left w:val="none" w:sz="0" w:space="0" w:color="auto"/>
        <w:bottom w:val="none" w:sz="0" w:space="0" w:color="auto"/>
        <w:right w:val="none" w:sz="0" w:space="0" w:color="auto"/>
      </w:divBdr>
    </w:div>
    <w:div w:id="212776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1899-12-31T23:00:00.0000000Z</lastPrinted>
  <dcterms:created xsi:type="dcterms:W3CDTF">1899-12-31T23:00:00.0000000Z</dcterms:created>
  <dcterms:modified xsi:type="dcterms:W3CDTF">1899-12-31T23:00:00.0000000Z</dcterms:modified>
</coreProperties>
</file>